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D0C17" w14:textId="77777777" w:rsidR="00424BCC" w:rsidRPr="007020A5" w:rsidRDefault="00424BCC" w:rsidP="00904308">
      <w:pPr>
        <w:pStyle w:val="a3"/>
        <w:jc w:val="center"/>
        <w:rPr>
          <w:rFonts w:asciiTheme="majorHAnsi" w:hAnsiTheme="majorHAnsi"/>
          <w:b/>
          <w:sz w:val="28"/>
          <w:szCs w:val="28"/>
          <w:lang w:val="ru-RU"/>
        </w:rPr>
      </w:pPr>
    </w:p>
    <w:p w14:paraId="2B85B10A" w14:textId="77777777" w:rsidR="00D1603A" w:rsidRPr="007020A5" w:rsidRDefault="00D1603A" w:rsidP="00904308">
      <w:pPr>
        <w:pStyle w:val="a3"/>
        <w:jc w:val="center"/>
        <w:rPr>
          <w:rFonts w:asciiTheme="majorHAnsi" w:hAnsiTheme="majorHAnsi"/>
          <w:b/>
          <w:sz w:val="28"/>
          <w:szCs w:val="28"/>
          <w:highlight w:val="yellow"/>
        </w:rPr>
      </w:pPr>
    </w:p>
    <w:p w14:paraId="42E588A7" w14:textId="77777777" w:rsidR="00A669E2" w:rsidRPr="007020A5" w:rsidRDefault="00A669E2" w:rsidP="00904308">
      <w:pPr>
        <w:pStyle w:val="a3"/>
        <w:jc w:val="center"/>
        <w:rPr>
          <w:rFonts w:asciiTheme="majorHAnsi" w:hAnsiTheme="majorHAnsi"/>
          <w:b/>
          <w:sz w:val="28"/>
          <w:szCs w:val="28"/>
          <w:highlight w:val="yellow"/>
          <w:lang w:val="ru-RU"/>
        </w:rPr>
      </w:pPr>
    </w:p>
    <w:p w14:paraId="299B573A" w14:textId="77777777" w:rsidR="00720FE3" w:rsidRPr="007020A5" w:rsidRDefault="00424BCC" w:rsidP="007020A5">
      <w:pPr>
        <w:pStyle w:val="a3"/>
        <w:jc w:val="center"/>
        <w:rPr>
          <w:rFonts w:asciiTheme="majorHAnsi" w:hAnsiTheme="majorHAnsi"/>
          <w:b/>
          <w:sz w:val="28"/>
          <w:szCs w:val="28"/>
          <w:lang w:val="ru-RU"/>
        </w:rPr>
      </w:pPr>
      <w:r w:rsidRPr="007020A5">
        <w:rPr>
          <w:rFonts w:asciiTheme="majorHAnsi" w:hAnsiTheme="majorHAnsi"/>
          <w:b/>
          <w:sz w:val="28"/>
          <w:szCs w:val="28"/>
          <w:lang w:val="ru-RU"/>
        </w:rPr>
        <w:t>Рекомендации региональн</w:t>
      </w:r>
      <w:r w:rsidR="00EB7A19" w:rsidRPr="007020A5">
        <w:rPr>
          <w:rFonts w:asciiTheme="majorHAnsi" w:hAnsiTheme="majorHAnsi"/>
          <w:b/>
          <w:sz w:val="28"/>
          <w:szCs w:val="28"/>
          <w:lang w:val="ru-RU"/>
        </w:rPr>
        <w:t>ого</w:t>
      </w:r>
      <w:r w:rsidR="00430095" w:rsidRPr="007020A5">
        <w:rPr>
          <w:rFonts w:asciiTheme="majorHAnsi" w:hAnsiTheme="majorHAnsi"/>
          <w:b/>
          <w:sz w:val="28"/>
          <w:szCs w:val="28"/>
          <w:lang w:val="ru-RU"/>
        </w:rPr>
        <w:t xml:space="preserve"> Совета</w:t>
      </w:r>
      <w:r w:rsidR="00720FE3" w:rsidRPr="007020A5">
        <w:rPr>
          <w:rFonts w:asciiTheme="majorHAnsi" w:hAnsiTheme="majorHAnsi"/>
          <w:b/>
          <w:sz w:val="28"/>
          <w:szCs w:val="28"/>
          <w:lang w:val="ru-RU"/>
        </w:rPr>
        <w:t xml:space="preserve"> </w:t>
      </w:r>
      <w:r w:rsidR="00ED3952" w:rsidRPr="007020A5">
        <w:rPr>
          <w:rFonts w:asciiTheme="majorHAnsi" w:hAnsiTheme="majorHAnsi"/>
          <w:b/>
          <w:sz w:val="28"/>
          <w:szCs w:val="28"/>
          <w:lang w:val="ru-RU"/>
        </w:rPr>
        <w:t xml:space="preserve">руководителей </w:t>
      </w:r>
    </w:p>
    <w:p w14:paraId="07D9F666" w14:textId="2A1959EB" w:rsidR="00A669E2" w:rsidRPr="007020A5" w:rsidRDefault="00ED3952" w:rsidP="007020A5">
      <w:pPr>
        <w:pStyle w:val="a3"/>
        <w:jc w:val="center"/>
        <w:rPr>
          <w:rFonts w:asciiTheme="majorHAnsi" w:hAnsiTheme="majorHAnsi"/>
          <w:b/>
          <w:sz w:val="28"/>
          <w:szCs w:val="28"/>
          <w:lang w:val="ru-RU"/>
        </w:rPr>
      </w:pPr>
      <w:r w:rsidRPr="007020A5">
        <w:rPr>
          <w:rFonts w:asciiTheme="majorHAnsi" w:hAnsiTheme="majorHAnsi"/>
          <w:b/>
          <w:sz w:val="28"/>
          <w:szCs w:val="28"/>
          <w:lang w:val="ru-RU"/>
        </w:rPr>
        <w:t xml:space="preserve">Ассоциаций </w:t>
      </w:r>
      <w:r w:rsidR="009E248A" w:rsidRPr="007020A5">
        <w:rPr>
          <w:rFonts w:asciiTheme="majorHAnsi" w:hAnsiTheme="majorHAnsi"/>
          <w:b/>
          <w:sz w:val="28"/>
          <w:szCs w:val="28"/>
          <w:lang w:val="ru-RU"/>
        </w:rPr>
        <w:t xml:space="preserve">таможенных </w:t>
      </w:r>
      <w:r w:rsidR="00424BCC" w:rsidRPr="007020A5">
        <w:rPr>
          <w:rFonts w:asciiTheme="majorHAnsi" w:hAnsiTheme="majorHAnsi"/>
          <w:b/>
          <w:sz w:val="28"/>
          <w:szCs w:val="28"/>
          <w:lang w:val="ru-RU"/>
        </w:rPr>
        <w:t>брокеров</w:t>
      </w:r>
      <w:r w:rsidR="000622D3" w:rsidRPr="007020A5">
        <w:rPr>
          <w:rFonts w:asciiTheme="majorHAnsi" w:hAnsiTheme="majorHAnsi"/>
          <w:b/>
          <w:sz w:val="28"/>
          <w:szCs w:val="28"/>
          <w:lang w:val="ru-RU"/>
        </w:rPr>
        <w:t xml:space="preserve"> (представителей)</w:t>
      </w:r>
      <w:r w:rsidR="00424BCC" w:rsidRPr="007020A5">
        <w:rPr>
          <w:rFonts w:asciiTheme="majorHAnsi" w:hAnsiTheme="majorHAnsi"/>
          <w:b/>
          <w:sz w:val="28"/>
          <w:szCs w:val="28"/>
          <w:lang w:val="ru-RU"/>
        </w:rPr>
        <w:t xml:space="preserve"> </w:t>
      </w:r>
    </w:p>
    <w:p w14:paraId="4FCE5356" w14:textId="77777777" w:rsidR="00424BCC" w:rsidRPr="007020A5" w:rsidRDefault="00ED3952" w:rsidP="007020A5">
      <w:pPr>
        <w:pStyle w:val="a3"/>
        <w:jc w:val="center"/>
        <w:rPr>
          <w:rFonts w:asciiTheme="majorHAnsi" w:hAnsiTheme="majorHAnsi"/>
          <w:b/>
          <w:sz w:val="28"/>
          <w:szCs w:val="28"/>
          <w:lang w:val="ru-RU"/>
        </w:rPr>
      </w:pPr>
      <w:r w:rsidRPr="007020A5">
        <w:rPr>
          <w:rFonts w:asciiTheme="majorHAnsi" w:hAnsiTheme="majorHAnsi"/>
          <w:b/>
          <w:sz w:val="28"/>
          <w:szCs w:val="28"/>
          <w:lang w:val="ru-RU"/>
        </w:rPr>
        <w:t xml:space="preserve">стран </w:t>
      </w:r>
      <w:r w:rsidR="00424BCC" w:rsidRPr="007020A5">
        <w:rPr>
          <w:rFonts w:asciiTheme="majorHAnsi" w:hAnsiTheme="majorHAnsi"/>
          <w:b/>
          <w:sz w:val="28"/>
          <w:szCs w:val="28"/>
          <w:lang w:val="ru-RU"/>
        </w:rPr>
        <w:t>Центрально</w:t>
      </w:r>
      <w:r w:rsidRPr="007020A5">
        <w:rPr>
          <w:rFonts w:asciiTheme="majorHAnsi" w:hAnsiTheme="majorHAnsi"/>
          <w:b/>
          <w:sz w:val="28"/>
          <w:szCs w:val="28"/>
          <w:lang w:val="ru-RU"/>
        </w:rPr>
        <w:t>-Азиатского реги</w:t>
      </w:r>
      <w:r w:rsidR="00EB7A19" w:rsidRPr="007020A5">
        <w:rPr>
          <w:rFonts w:asciiTheme="majorHAnsi" w:hAnsiTheme="majorHAnsi"/>
          <w:b/>
          <w:sz w:val="28"/>
          <w:szCs w:val="28"/>
          <w:lang w:val="ru-RU"/>
        </w:rPr>
        <w:t>о</w:t>
      </w:r>
      <w:r w:rsidRPr="007020A5">
        <w:rPr>
          <w:rFonts w:asciiTheme="majorHAnsi" w:hAnsiTheme="majorHAnsi"/>
          <w:b/>
          <w:sz w:val="28"/>
          <w:szCs w:val="28"/>
          <w:lang w:val="ru-RU"/>
        </w:rPr>
        <w:t>на</w:t>
      </w:r>
    </w:p>
    <w:p w14:paraId="6DCDFC2A" w14:textId="07857BA1" w:rsidR="00720FE3" w:rsidRPr="007020A5" w:rsidRDefault="00ED3952" w:rsidP="007020A5">
      <w:pPr>
        <w:pStyle w:val="a3"/>
        <w:jc w:val="center"/>
        <w:rPr>
          <w:rFonts w:asciiTheme="majorHAnsi" w:hAnsiTheme="majorHAnsi"/>
          <w:b/>
          <w:sz w:val="28"/>
          <w:szCs w:val="28"/>
          <w:lang w:val="ru-RU"/>
        </w:rPr>
      </w:pPr>
      <w:r w:rsidRPr="007020A5">
        <w:rPr>
          <w:rFonts w:asciiTheme="majorHAnsi" w:hAnsiTheme="majorHAnsi"/>
          <w:b/>
          <w:sz w:val="28"/>
          <w:szCs w:val="28"/>
          <w:lang w:val="ru-RU"/>
        </w:rPr>
        <w:t>по итогам</w:t>
      </w:r>
      <w:r w:rsidR="00430095" w:rsidRPr="007020A5">
        <w:rPr>
          <w:rFonts w:asciiTheme="majorHAnsi" w:hAnsiTheme="majorHAnsi"/>
          <w:b/>
          <w:sz w:val="28"/>
          <w:szCs w:val="28"/>
          <w:lang w:val="ru-RU"/>
        </w:rPr>
        <w:t xml:space="preserve"> </w:t>
      </w:r>
      <w:r w:rsidR="009028AE" w:rsidRPr="007020A5">
        <w:rPr>
          <w:rFonts w:asciiTheme="majorHAnsi" w:hAnsiTheme="majorHAnsi"/>
          <w:b/>
          <w:sz w:val="28"/>
          <w:szCs w:val="28"/>
          <w:lang w:val="ru-RU"/>
        </w:rPr>
        <w:t>проведения</w:t>
      </w:r>
    </w:p>
    <w:p w14:paraId="54AF991B" w14:textId="77777777" w:rsidR="00720FE3" w:rsidRPr="007020A5" w:rsidRDefault="00720FE3" w:rsidP="007020A5">
      <w:pPr>
        <w:pStyle w:val="a3"/>
        <w:jc w:val="center"/>
        <w:rPr>
          <w:rFonts w:asciiTheme="majorHAnsi" w:hAnsiTheme="majorHAnsi" w:cstheme="minorHAnsi"/>
          <w:b/>
          <w:sz w:val="28"/>
          <w:szCs w:val="28"/>
          <w:lang w:val="ru-RU"/>
        </w:rPr>
      </w:pPr>
      <w:r w:rsidRPr="007020A5">
        <w:rPr>
          <w:rFonts w:asciiTheme="majorHAnsi" w:hAnsiTheme="majorHAnsi" w:cstheme="minorHAnsi"/>
          <w:b/>
          <w:sz w:val="28"/>
          <w:szCs w:val="28"/>
        </w:rPr>
        <w:t>IV</w:t>
      </w:r>
      <w:r w:rsidRPr="007020A5">
        <w:rPr>
          <w:rFonts w:asciiTheme="majorHAnsi" w:hAnsiTheme="majorHAnsi" w:cstheme="minorHAnsi"/>
          <w:b/>
          <w:sz w:val="28"/>
          <w:szCs w:val="28"/>
          <w:lang w:val="ru-RU"/>
        </w:rPr>
        <w:t xml:space="preserve"> Конференции АТБ(П) ЦАР</w:t>
      </w:r>
    </w:p>
    <w:p w14:paraId="31BAA6B4" w14:textId="3B2F2312" w:rsidR="00720FE3" w:rsidRPr="007020A5" w:rsidRDefault="00720FE3" w:rsidP="007020A5">
      <w:pPr>
        <w:pStyle w:val="a3"/>
        <w:spacing w:after="240" w:line="276" w:lineRule="auto"/>
        <w:jc w:val="center"/>
        <w:rPr>
          <w:rFonts w:asciiTheme="majorHAnsi" w:hAnsiTheme="majorHAnsi" w:cstheme="minorHAnsi"/>
          <w:b/>
          <w:sz w:val="28"/>
          <w:szCs w:val="28"/>
          <w:lang w:val="ru-RU"/>
        </w:rPr>
      </w:pPr>
    </w:p>
    <w:p w14:paraId="26E82C4F" w14:textId="0E28CF28" w:rsidR="00ED3952" w:rsidRPr="007020A5" w:rsidRDefault="00720FE3" w:rsidP="007020A5">
      <w:pPr>
        <w:pStyle w:val="a3"/>
        <w:spacing w:after="240" w:line="276" w:lineRule="auto"/>
        <w:rPr>
          <w:rFonts w:asciiTheme="majorHAnsi" w:hAnsiTheme="majorHAnsi"/>
          <w:b/>
          <w:sz w:val="28"/>
          <w:szCs w:val="28"/>
          <w:lang w:val="ru-RU"/>
        </w:rPr>
      </w:pPr>
      <w:r w:rsidRPr="007020A5">
        <w:rPr>
          <w:rFonts w:asciiTheme="majorHAnsi" w:hAnsiTheme="majorHAnsi" w:cstheme="minorHAnsi"/>
          <w:b/>
          <w:sz w:val="28"/>
          <w:szCs w:val="28"/>
          <w:lang w:val="ru-RU"/>
        </w:rPr>
        <w:t>г. Ташкент</w:t>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Pr="007020A5">
        <w:rPr>
          <w:rFonts w:asciiTheme="majorHAnsi" w:hAnsiTheme="majorHAnsi" w:cstheme="minorHAnsi"/>
          <w:b/>
          <w:sz w:val="28"/>
          <w:szCs w:val="28"/>
          <w:lang w:val="ru-RU"/>
        </w:rPr>
        <w:tab/>
      </w:r>
      <w:r w:rsidR="00ED3952" w:rsidRPr="007020A5">
        <w:rPr>
          <w:rFonts w:asciiTheme="majorHAnsi" w:hAnsiTheme="majorHAnsi"/>
          <w:b/>
          <w:sz w:val="28"/>
          <w:szCs w:val="28"/>
          <w:lang w:val="ru-RU"/>
        </w:rPr>
        <w:t>1</w:t>
      </w:r>
      <w:r w:rsidRPr="007020A5">
        <w:rPr>
          <w:rFonts w:asciiTheme="majorHAnsi" w:hAnsiTheme="majorHAnsi"/>
          <w:b/>
          <w:sz w:val="28"/>
          <w:szCs w:val="28"/>
          <w:lang w:val="ru-RU"/>
        </w:rPr>
        <w:t>5</w:t>
      </w:r>
      <w:r w:rsidR="00ED3952" w:rsidRPr="007020A5">
        <w:rPr>
          <w:rFonts w:asciiTheme="majorHAnsi" w:hAnsiTheme="majorHAnsi"/>
          <w:b/>
          <w:sz w:val="28"/>
          <w:szCs w:val="28"/>
          <w:lang w:val="ru-RU"/>
        </w:rPr>
        <w:t xml:space="preserve"> </w:t>
      </w:r>
      <w:r w:rsidRPr="007020A5">
        <w:rPr>
          <w:rFonts w:asciiTheme="majorHAnsi" w:hAnsiTheme="majorHAnsi"/>
          <w:b/>
          <w:sz w:val="28"/>
          <w:szCs w:val="28"/>
          <w:lang w:val="ru-RU"/>
        </w:rPr>
        <w:t>октября</w:t>
      </w:r>
      <w:r w:rsidR="00ED3952" w:rsidRPr="007020A5">
        <w:rPr>
          <w:rFonts w:asciiTheme="majorHAnsi" w:hAnsiTheme="majorHAnsi"/>
          <w:b/>
          <w:sz w:val="28"/>
          <w:szCs w:val="28"/>
          <w:lang w:val="ru-RU"/>
        </w:rPr>
        <w:t xml:space="preserve"> 20</w:t>
      </w:r>
      <w:r w:rsidRPr="007020A5">
        <w:rPr>
          <w:rFonts w:asciiTheme="majorHAnsi" w:hAnsiTheme="majorHAnsi"/>
          <w:b/>
          <w:sz w:val="28"/>
          <w:szCs w:val="28"/>
          <w:lang w:val="ru-RU"/>
        </w:rPr>
        <w:t>20</w:t>
      </w:r>
      <w:r w:rsidR="00ED3952" w:rsidRPr="007020A5">
        <w:rPr>
          <w:rFonts w:asciiTheme="majorHAnsi" w:hAnsiTheme="majorHAnsi"/>
          <w:b/>
          <w:sz w:val="28"/>
          <w:szCs w:val="28"/>
          <w:lang w:val="ru-RU"/>
        </w:rPr>
        <w:t xml:space="preserve"> года</w:t>
      </w:r>
    </w:p>
    <w:p w14:paraId="79ECB9F1" w14:textId="77777777" w:rsidR="00846A5B" w:rsidRPr="007020A5" w:rsidRDefault="00846A5B" w:rsidP="007020A5">
      <w:pPr>
        <w:pStyle w:val="a3"/>
        <w:spacing w:after="240" w:line="276" w:lineRule="auto"/>
        <w:ind w:firstLine="708"/>
        <w:jc w:val="both"/>
        <w:rPr>
          <w:rFonts w:asciiTheme="majorHAnsi" w:hAnsiTheme="majorHAnsi"/>
          <w:sz w:val="28"/>
          <w:szCs w:val="28"/>
          <w:lang w:val="ru-RU"/>
        </w:rPr>
      </w:pPr>
    </w:p>
    <w:p w14:paraId="372DA2A6" w14:textId="34F88269" w:rsidR="00720FE3" w:rsidRPr="007020A5" w:rsidRDefault="000622D3" w:rsidP="007020A5">
      <w:pPr>
        <w:pStyle w:val="a3"/>
        <w:spacing w:after="240" w:line="276" w:lineRule="auto"/>
        <w:ind w:firstLine="708"/>
        <w:jc w:val="both"/>
        <w:rPr>
          <w:rFonts w:asciiTheme="majorHAnsi" w:hAnsiTheme="majorHAnsi"/>
          <w:sz w:val="28"/>
          <w:szCs w:val="28"/>
          <w:lang w:val="ru-RU"/>
        </w:rPr>
      </w:pPr>
      <w:r w:rsidRPr="007020A5">
        <w:rPr>
          <w:rFonts w:asciiTheme="majorHAnsi" w:hAnsiTheme="majorHAnsi"/>
          <w:sz w:val="28"/>
          <w:szCs w:val="28"/>
          <w:lang w:val="ru-RU"/>
        </w:rPr>
        <w:t>Учитывая</w:t>
      </w:r>
      <w:r w:rsidR="00720FE3" w:rsidRPr="007020A5">
        <w:rPr>
          <w:rFonts w:asciiTheme="majorHAnsi" w:hAnsiTheme="majorHAnsi"/>
          <w:sz w:val="28"/>
          <w:szCs w:val="28"/>
          <w:lang w:val="ru-RU"/>
        </w:rPr>
        <w:t>:</w:t>
      </w:r>
    </w:p>
    <w:p w14:paraId="7C43F893" w14:textId="04101512" w:rsidR="00720FE3" w:rsidRPr="007020A5" w:rsidRDefault="00B74AF1" w:rsidP="007020A5">
      <w:pPr>
        <w:pStyle w:val="a3"/>
        <w:numPr>
          <w:ilvl w:val="0"/>
          <w:numId w:val="2"/>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 xml:space="preserve">опыт </w:t>
      </w:r>
      <w:r w:rsidR="00C65C9A" w:rsidRPr="007020A5">
        <w:rPr>
          <w:rFonts w:asciiTheme="majorHAnsi" w:hAnsiTheme="majorHAnsi"/>
          <w:sz w:val="28"/>
          <w:szCs w:val="28"/>
          <w:lang w:val="ru-RU"/>
        </w:rPr>
        <w:t xml:space="preserve">взаимодействия  </w:t>
      </w:r>
      <w:r w:rsidRPr="007020A5">
        <w:rPr>
          <w:rFonts w:asciiTheme="majorHAnsi" w:hAnsiTheme="majorHAnsi"/>
          <w:sz w:val="28"/>
          <w:szCs w:val="28"/>
          <w:lang w:val="ru-RU"/>
        </w:rPr>
        <w:t xml:space="preserve"> АТБ/П ЦАР </w:t>
      </w:r>
      <w:r w:rsidR="00720FE3" w:rsidRPr="007020A5">
        <w:rPr>
          <w:rFonts w:asciiTheme="majorHAnsi" w:hAnsiTheme="majorHAnsi"/>
          <w:sz w:val="28"/>
          <w:szCs w:val="28"/>
          <w:lang w:val="ru-RU"/>
        </w:rPr>
        <w:t>за 2017 – 2020 годы,</w:t>
      </w:r>
    </w:p>
    <w:p w14:paraId="7804FBC6" w14:textId="4F45AF76" w:rsidR="002D7565" w:rsidRPr="007020A5" w:rsidRDefault="002D7565" w:rsidP="007020A5">
      <w:pPr>
        <w:pStyle w:val="a3"/>
        <w:numPr>
          <w:ilvl w:val="0"/>
          <w:numId w:val="2"/>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положительный практический опыт осуществления таможенного контроля и таможенного оформления, накопленный в странах Центрально-Азиатского региона;</w:t>
      </w:r>
    </w:p>
    <w:p w14:paraId="72499C1B" w14:textId="3AD3AC7C" w:rsidR="00720FE3" w:rsidRPr="007020A5" w:rsidRDefault="00720FE3" w:rsidP="007020A5">
      <w:pPr>
        <w:pStyle w:val="a3"/>
        <w:numPr>
          <w:ilvl w:val="0"/>
          <w:numId w:val="2"/>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возрастающий интерес к товарообороту между сопредельными государствами, равно как и с другими странами СНГ и дальнего зарубежья</w:t>
      </w:r>
      <w:r w:rsidR="009028AE" w:rsidRPr="007020A5">
        <w:rPr>
          <w:rFonts w:asciiTheme="majorHAnsi" w:hAnsiTheme="majorHAnsi"/>
          <w:sz w:val="28"/>
          <w:szCs w:val="28"/>
          <w:lang w:val="ru-RU"/>
        </w:rPr>
        <w:t xml:space="preserve">, вызывающий </w:t>
      </w:r>
      <w:r w:rsidRPr="007020A5">
        <w:rPr>
          <w:rFonts w:asciiTheme="majorHAnsi" w:hAnsiTheme="majorHAnsi"/>
          <w:sz w:val="28"/>
          <w:szCs w:val="28"/>
          <w:lang w:val="ru-RU"/>
        </w:rPr>
        <w:t>потребность таможенных брокеров и участников ВЭД</w:t>
      </w:r>
      <w:r w:rsidR="009028AE" w:rsidRPr="007020A5">
        <w:rPr>
          <w:rFonts w:asciiTheme="majorHAnsi" w:hAnsiTheme="majorHAnsi"/>
          <w:sz w:val="28"/>
          <w:szCs w:val="28"/>
          <w:lang w:val="ru-RU"/>
        </w:rPr>
        <w:t xml:space="preserve"> в увеличении уровня знаний о таможенных процедурах в других странах;</w:t>
      </w:r>
    </w:p>
    <w:p w14:paraId="5513FD81" w14:textId="219C4E79" w:rsidR="009028AE" w:rsidRPr="007020A5" w:rsidRDefault="00720FE3" w:rsidP="007020A5">
      <w:pPr>
        <w:pStyle w:val="a3"/>
        <w:numPr>
          <w:ilvl w:val="0"/>
          <w:numId w:val="2"/>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уровень влияния последстви</w:t>
      </w:r>
      <w:r w:rsidR="009028AE" w:rsidRPr="007020A5">
        <w:rPr>
          <w:rFonts w:asciiTheme="majorHAnsi" w:hAnsiTheme="majorHAnsi"/>
          <w:sz w:val="28"/>
          <w:szCs w:val="28"/>
          <w:lang w:val="ru-RU"/>
        </w:rPr>
        <w:t>й</w:t>
      </w:r>
      <w:r w:rsidRPr="007020A5">
        <w:rPr>
          <w:rFonts w:asciiTheme="majorHAnsi" w:hAnsiTheme="majorHAnsi"/>
          <w:sz w:val="28"/>
          <w:szCs w:val="28"/>
          <w:lang w:val="ru-RU"/>
        </w:rPr>
        <w:t xml:space="preserve"> пандемии COVID-19 на ведение бизнеса, осуществление таможенных процедур и мер контроля за выполнением нетарифных мер, включая сертификацию товаров</w:t>
      </w:r>
      <w:r w:rsidR="009028AE" w:rsidRPr="007020A5">
        <w:rPr>
          <w:rFonts w:asciiTheme="majorHAnsi" w:hAnsiTheme="majorHAnsi"/>
          <w:sz w:val="28"/>
          <w:szCs w:val="28"/>
          <w:lang w:val="ru-RU"/>
        </w:rPr>
        <w:t>,</w:t>
      </w:r>
    </w:p>
    <w:p w14:paraId="187F1AC5" w14:textId="12EF5550" w:rsidR="009028AE" w:rsidRPr="007020A5" w:rsidRDefault="009028AE" w:rsidP="007020A5">
      <w:pPr>
        <w:pStyle w:val="a3"/>
        <w:spacing w:after="240" w:line="276" w:lineRule="auto"/>
        <w:ind w:left="1428"/>
        <w:jc w:val="both"/>
        <w:rPr>
          <w:rFonts w:asciiTheme="majorHAnsi" w:hAnsiTheme="majorHAnsi"/>
          <w:sz w:val="28"/>
          <w:szCs w:val="28"/>
          <w:lang w:val="ru-RU"/>
        </w:rPr>
      </w:pPr>
      <w:r w:rsidRPr="007020A5">
        <w:rPr>
          <w:rFonts w:asciiTheme="majorHAnsi" w:hAnsiTheme="majorHAnsi"/>
          <w:sz w:val="28"/>
          <w:szCs w:val="28"/>
          <w:lang w:val="ru-RU"/>
        </w:rPr>
        <w:t>Региональный совет, по итогам проведения IV Конференции АТБ(П) ЦАР, выработал следующие рекомендации:</w:t>
      </w:r>
    </w:p>
    <w:p w14:paraId="02A8A0C1" w14:textId="77777777" w:rsidR="007020A5" w:rsidRPr="007020A5" w:rsidRDefault="007020A5" w:rsidP="007020A5">
      <w:pPr>
        <w:pStyle w:val="a3"/>
        <w:spacing w:after="240" w:line="276" w:lineRule="auto"/>
        <w:ind w:left="1428"/>
        <w:jc w:val="both"/>
        <w:rPr>
          <w:rFonts w:asciiTheme="majorHAnsi" w:hAnsiTheme="majorHAnsi"/>
          <w:sz w:val="28"/>
          <w:szCs w:val="28"/>
          <w:lang w:val="ru-RU"/>
        </w:rPr>
      </w:pPr>
    </w:p>
    <w:p w14:paraId="40EDE2AE" w14:textId="705C52C2" w:rsidR="002D7565" w:rsidRPr="007020A5" w:rsidRDefault="002D7565" w:rsidP="007020A5">
      <w:pPr>
        <w:pStyle w:val="a3"/>
        <w:numPr>
          <w:ilvl w:val="0"/>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lastRenderedPageBreak/>
        <w:t>Проводить на национальном уровне работу с целью реализации следующих упрощений:</w:t>
      </w:r>
    </w:p>
    <w:p w14:paraId="165E1159" w14:textId="31CC3FBA" w:rsidR="008D65D2" w:rsidRPr="007020A5" w:rsidRDefault="008D65D2" w:rsidP="007020A5">
      <w:pPr>
        <w:pStyle w:val="a3"/>
        <w:numPr>
          <w:ilvl w:val="1"/>
          <w:numId w:val="1"/>
        </w:numPr>
        <w:spacing w:after="240" w:line="276" w:lineRule="auto"/>
        <w:jc w:val="both"/>
        <w:rPr>
          <w:rFonts w:asciiTheme="majorHAnsi" w:hAnsiTheme="majorHAnsi"/>
          <w:i/>
          <w:iCs/>
          <w:sz w:val="28"/>
          <w:szCs w:val="28"/>
          <w:lang w:val="ru-RU"/>
        </w:rPr>
      </w:pPr>
      <w:r w:rsidRPr="007020A5">
        <w:rPr>
          <w:rFonts w:asciiTheme="majorHAnsi" w:hAnsiTheme="majorHAnsi"/>
          <w:i/>
          <w:iCs/>
          <w:sz w:val="28"/>
          <w:szCs w:val="28"/>
          <w:lang w:val="ru-RU"/>
        </w:rPr>
        <w:t>Опыт Республики Беларусь</w:t>
      </w:r>
    </w:p>
    <w:p w14:paraId="0A868C3E" w14:textId="0E60104D" w:rsidR="002D7565" w:rsidRPr="007020A5" w:rsidRDefault="002D7565" w:rsidP="007020A5">
      <w:pPr>
        <w:pStyle w:val="a3"/>
        <w:spacing w:after="240" w:line="276" w:lineRule="auto"/>
        <w:ind w:left="1440"/>
        <w:jc w:val="both"/>
        <w:rPr>
          <w:rFonts w:asciiTheme="majorHAnsi" w:hAnsiTheme="majorHAnsi"/>
          <w:sz w:val="28"/>
          <w:szCs w:val="28"/>
          <w:lang w:val="ru-RU"/>
        </w:rPr>
      </w:pPr>
      <w:r w:rsidRPr="007020A5">
        <w:rPr>
          <w:rFonts w:asciiTheme="majorHAnsi" w:hAnsiTheme="majorHAnsi"/>
          <w:sz w:val="28"/>
          <w:szCs w:val="28"/>
          <w:lang w:val="ru-RU"/>
        </w:rPr>
        <w:t>При экспорте:</w:t>
      </w:r>
    </w:p>
    <w:p w14:paraId="70D60B6E" w14:textId="77777777" w:rsidR="002D7565" w:rsidRPr="007020A5" w:rsidRDefault="002D7565"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 xml:space="preserve"> таможенное оформление производить удаленно;</w:t>
      </w:r>
    </w:p>
    <w:p w14:paraId="76AC0A4B" w14:textId="77777777" w:rsidR="002D7565" w:rsidRPr="007020A5" w:rsidRDefault="002D7565"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 xml:space="preserve"> пломбировать транспортное средство при пересечении границы;</w:t>
      </w:r>
    </w:p>
    <w:p w14:paraId="44C02F1A" w14:textId="3146CD29" w:rsidR="002D7565" w:rsidRPr="007020A5" w:rsidRDefault="007B4E38"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в</w:t>
      </w:r>
      <w:r w:rsidR="002D7565" w:rsidRPr="007020A5">
        <w:rPr>
          <w:rFonts w:asciiTheme="majorHAnsi" w:hAnsiTheme="majorHAnsi"/>
          <w:sz w:val="28"/>
          <w:szCs w:val="28"/>
          <w:lang w:val="ru-RU"/>
        </w:rPr>
        <w:t xml:space="preserve"> случае выявления высокого риска – таможенный досмотр производить на приграничном посту</w:t>
      </w:r>
      <w:r w:rsidR="008D65D2" w:rsidRPr="007020A5">
        <w:rPr>
          <w:rFonts w:asciiTheme="majorHAnsi" w:hAnsiTheme="majorHAnsi"/>
          <w:sz w:val="28"/>
          <w:szCs w:val="28"/>
          <w:lang w:val="ru-RU"/>
        </w:rPr>
        <w:t>;</w:t>
      </w:r>
    </w:p>
    <w:p w14:paraId="04395FC3" w14:textId="539C6CAD" w:rsidR="001967A9" w:rsidRPr="007020A5" w:rsidRDefault="001967A9" w:rsidP="007020A5">
      <w:pPr>
        <w:pStyle w:val="a3"/>
        <w:spacing w:after="240" w:line="276" w:lineRule="auto"/>
        <w:ind w:left="1272" w:firstLine="168"/>
        <w:jc w:val="both"/>
        <w:rPr>
          <w:rFonts w:asciiTheme="majorHAnsi" w:hAnsiTheme="majorHAnsi"/>
          <w:sz w:val="28"/>
          <w:szCs w:val="28"/>
          <w:lang w:val="ru-RU"/>
        </w:rPr>
      </w:pPr>
      <w:r w:rsidRPr="007020A5">
        <w:rPr>
          <w:rFonts w:asciiTheme="majorHAnsi" w:hAnsiTheme="majorHAnsi"/>
          <w:sz w:val="28"/>
          <w:szCs w:val="28"/>
          <w:lang w:val="ru-RU"/>
        </w:rPr>
        <w:t>В любых случаях</w:t>
      </w:r>
    </w:p>
    <w:p w14:paraId="39300B9A" w14:textId="42E94430" w:rsidR="001967A9" w:rsidRPr="007020A5" w:rsidRDefault="001967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Не требовать приложение документов к таможенной декларации. Документы предоставляются только по запросу таможни, как правило основанному на работе СУР;</w:t>
      </w:r>
    </w:p>
    <w:p w14:paraId="4A4870C9" w14:textId="619A5017" w:rsidR="008D65D2" w:rsidRPr="007020A5" w:rsidRDefault="008D65D2" w:rsidP="007020A5">
      <w:pPr>
        <w:pStyle w:val="a3"/>
        <w:numPr>
          <w:ilvl w:val="1"/>
          <w:numId w:val="1"/>
        </w:numPr>
        <w:spacing w:after="240" w:line="276" w:lineRule="auto"/>
        <w:jc w:val="both"/>
        <w:rPr>
          <w:rFonts w:asciiTheme="majorHAnsi" w:hAnsiTheme="majorHAnsi"/>
          <w:i/>
          <w:iCs/>
          <w:sz w:val="28"/>
          <w:szCs w:val="28"/>
          <w:lang w:val="ru-RU"/>
        </w:rPr>
      </w:pPr>
      <w:r w:rsidRPr="007020A5">
        <w:rPr>
          <w:rFonts w:asciiTheme="majorHAnsi" w:hAnsiTheme="majorHAnsi"/>
          <w:i/>
          <w:iCs/>
          <w:sz w:val="28"/>
          <w:szCs w:val="28"/>
          <w:lang w:val="ru-RU"/>
        </w:rPr>
        <w:t>Опыт Литвы</w:t>
      </w:r>
    </w:p>
    <w:p w14:paraId="36D6A0DB" w14:textId="18E0EC1E" w:rsidR="008D65D2" w:rsidRPr="007020A5" w:rsidRDefault="00AA5B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с</w:t>
      </w:r>
      <w:r w:rsidR="008D65D2" w:rsidRPr="007020A5">
        <w:rPr>
          <w:rFonts w:asciiTheme="majorHAnsi" w:hAnsiTheme="majorHAnsi"/>
          <w:sz w:val="28"/>
          <w:szCs w:val="28"/>
          <w:lang w:val="ru-RU"/>
        </w:rPr>
        <w:t xml:space="preserve">овместно с национальными ТИР-ассоциациями проработать вопрос предоставления Уполномоченным экономическим операторам (УЭО) права оформления книжки </w:t>
      </w:r>
      <w:proofErr w:type="spellStart"/>
      <w:r w:rsidR="008D65D2" w:rsidRPr="007020A5">
        <w:rPr>
          <w:rFonts w:asciiTheme="majorHAnsi" w:hAnsiTheme="majorHAnsi"/>
          <w:sz w:val="28"/>
          <w:szCs w:val="28"/>
          <w:lang w:val="ru-RU"/>
        </w:rPr>
        <w:t>Карнет</w:t>
      </w:r>
      <w:proofErr w:type="spellEnd"/>
      <w:r w:rsidR="008D65D2" w:rsidRPr="007020A5">
        <w:rPr>
          <w:rFonts w:asciiTheme="majorHAnsi" w:hAnsiTheme="majorHAnsi"/>
          <w:sz w:val="28"/>
          <w:szCs w:val="28"/>
          <w:lang w:val="ru-RU"/>
        </w:rPr>
        <w:t xml:space="preserve"> ТИР на экспорт за подписью и печатью УЭО</w:t>
      </w:r>
      <w:r w:rsidRPr="007020A5">
        <w:rPr>
          <w:rFonts w:asciiTheme="majorHAnsi" w:hAnsiTheme="majorHAnsi"/>
          <w:sz w:val="28"/>
          <w:szCs w:val="28"/>
          <w:lang w:val="ru-RU"/>
        </w:rPr>
        <w:t>;</w:t>
      </w:r>
    </w:p>
    <w:p w14:paraId="07CEFCC4" w14:textId="4E31F514" w:rsidR="00AA5BA9" w:rsidRPr="007020A5" w:rsidRDefault="00AA5B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предусмотреть дополнительные упрощения для УЭО при увеличении размера обеспечения уплаты таможенных платежей;</w:t>
      </w:r>
    </w:p>
    <w:p w14:paraId="4EA17B7D" w14:textId="77B66D15" w:rsidR="00AA5BA9" w:rsidRDefault="00AA5B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предусмотреть отсутствие обеспечения уплаты таможенных платежей для УЭО с большим стажем при выполнении определенных операций</w:t>
      </w:r>
      <w:r w:rsidR="006002BC" w:rsidRPr="007020A5">
        <w:rPr>
          <w:rFonts w:asciiTheme="majorHAnsi" w:hAnsiTheme="majorHAnsi"/>
          <w:sz w:val="28"/>
          <w:szCs w:val="28"/>
          <w:lang w:val="ru-RU"/>
        </w:rPr>
        <w:t xml:space="preserve"> или использовании отдельных прав</w:t>
      </w:r>
      <w:r w:rsidRPr="007020A5">
        <w:rPr>
          <w:rFonts w:asciiTheme="majorHAnsi" w:hAnsiTheme="majorHAnsi"/>
          <w:sz w:val="28"/>
          <w:szCs w:val="28"/>
          <w:lang w:val="ru-RU"/>
        </w:rPr>
        <w:t xml:space="preserve"> (к примеру – помещение товаров до выпуска на собственный склад, транзит</w:t>
      </w:r>
      <w:r w:rsidR="006002BC" w:rsidRPr="007020A5">
        <w:rPr>
          <w:rFonts w:asciiTheme="majorHAnsi" w:hAnsiTheme="majorHAnsi"/>
          <w:sz w:val="28"/>
          <w:szCs w:val="28"/>
          <w:lang w:val="ru-RU"/>
        </w:rPr>
        <w:t>, условная таможенная оценка, отсрочка платежей и т.д.</w:t>
      </w:r>
      <w:r w:rsidRPr="007020A5">
        <w:rPr>
          <w:rFonts w:asciiTheme="majorHAnsi" w:hAnsiTheme="majorHAnsi"/>
          <w:sz w:val="28"/>
          <w:szCs w:val="28"/>
          <w:lang w:val="ru-RU"/>
        </w:rPr>
        <w:t>)</w:t>
      </w:r>
    </w:p>
    <w:p w14:paraId="2C83C2A7" w14:textId="77777777" w:rsidR="007020A5" w:rsidRPr="007020A5" w:rsidRDefault="007020A5" w:rsidP="007020A5">
      <w:pPr>
        <w:pStyle w:val="a3"/>
        <w:spacing w:after="240" w:line="276" w:lineRule="auto"/>
        <w:ind w:left="2160"/>
        <w:jc w:val="both"/>
        <w:rPr>
          <w:rFonts w:asciiTheme="majorHAnsi" w:hAnsiTheme="majorHAnsi"/>
          <w:sz w:val="28"/>
          <w:szCs w:val="28"/>
          <w:lang w:val="ru-RU"/>
        </w:rPr>
      </w:pPr>
    </w:p>
    <w:p w14:paraId="6769D196" w14:textId="33D46A47" w:rsidR="008D65D2" w:rsidRPr="007020A5" w:rsidRDefault="008D65D2" w:rsidP="007020A5">
      <w:pPr>
        <w:pStyle w:val="a3"/>
        <w:numPr>
          <w:ilvl w:val="1"/>
          <w:numId w:val="1"/>
        </w:numPr>
        <w:spacing w:after="240" w:line="276" w:lineRule="auto"/>
        <w:jc w:val="both"/>
        <w:rPr>
          <w:rFonts w:asciiTheme="majorHAnsi" w:hAnsiTheme="majorHAnsi"/>
          <w:i/>
          <w:iCs/>
          <w:sz w:val="28"/>
          <w:szCs w:val="28"/>
          <w:lang w:val="ru-RU"/>
        </w:rPr>
      </w:pPr>
      <w:r w:rsidRPr="007020A5">
        <w:rPr>
          <w:rFonts w:asciiTheme="majorHAnsi" w:hAnsiTheme="majorHAnsi"/>
          <w:i/>
          <w:iCs/>
          <w:sz w:val="28"/>
          <w:szCs w:val="28"/>
          <w:lang w:val="ru-RU"/>
        </w:rPr>
        <w:lastRenderedPageBreak/>
        <w:t>Опыт Казахстана</w:t>
      </w:r>
    </w:p>
    <w:p w14:paraId="531DA655" w14:textId="77777777" w:rsidR="006002BC" w:rsidRPr="007020A5" w:rsidRDefault="00AA5B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при использовании процедуры предварительного декларирования</w:t>
      </w:r>
      <w:r w:rsidR="006002BC" w:rsidRPr="007020A5">
        <w:rPr>
          <w:rFonts w:asciiTheme="majorHAnsi" w:hAnsiTheme="majorHAnsi"/>
          <w:sz w:val="28"/>
          <w:szCs w:val="28"/>
          <w:lang w:val="ru-RU"/>
        </w:rPr>
        <w:t xml:space="preserve"> определить</w:t>
      </w:r>
      <w:r w:rsidRPr="007020A5">
        <w:rPr>
          <w:rFonts w:asciiTheme="majorHAnsi" w:hAnsiTheme="majorHAnsi"/>
          <w:sz w:val="28"/>
          <w:szCs w:val="28"/>
          <w:lang w:val="ru-RU"/>
        </w:rPr>
        <w:t xml:space="preserve">: </w:t>
      </w:r>
    </w:p>
    <w:p w14:paraId="76FDE69A" w14:textId="49420509" w:rsidR="008D65D2" w:rsidRPr="007020A5" w:rsidRDefault="008D65D2" w:rsidP="007020A5">
      <w:pPr>
        <w:pStyle w:val="a3"/>
        <w:numPr>
          <w:ilvl w:val="3"/>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круг сведений (граф таможенной декларации), в которые допустимо вносить изменения</w:t>
      </w:r>
      <w:r w:rsidR="00AA5BA9" w:rsidRPr="007020A5">
        <w:rPr>
          <w:rFonts w:asciiTheme="majorHAnsi" w:hAnsiTheme="majorHAnsi"/>
          <w:sz w:val="28"/>
          <w:szCs w:val="28"/>
          <w:lang w:val="ru-RU"/>
        </w:rPr>
        <w:t xml:space="preserve"> без применения административных взысканий</w:t>
      </w:r>
      <w:r w:rsidR="006002BC" w:rsidRPr="007020A5">
        <w:rPr>
          <w:rFonts w:asciiTheme="majorHAnsi" w:hAnsiTheme="majorHAnsi"/>
          <w:sz w:val="28"/>
          <w:szCs w:val="28"/>
          <w:lang w:val="ru-RU"/>
        </w:rPr>
        <w:t xml:space="preserve">, </w:t>
      </w:r>
      <w:r w:rsidR="00AA5BA9" w:rsidRPr="007020A5">
        <w:rPr>
          <w:rFonts w:asciiTheme="majorHAnsi" w:hAnsiTheme="majorHAnsi"/>
          <w:sz w:val="28"/>
          <w:szCs w:val="28"/>
          <w:lang w:val="ru-RU"/>
        </w:rPr>
        <w:t>когда такие изменения вносятся в таможенную декларацию</w:t>
      </w:r>
      <w:r w:rsidRPr="007020A5">
        <w:rPr>
          <w:rFonts w:asciiTheme="majorHAnsi" w:hAnsiTheme="majorHAnsi"/>
          <w:sz w:val="28"/>
          <w:szCs w:val="28"/>
          <w:lang w:val="ru-RU"/>
        </w:rPr>
        <w:t xml:space="preserve"> после прибытия товара</w:t>
      </w:r>
      <w:r w:rsidR="00AA5BA9" w:rsidRPr="007020A5">
        <w:rPr>
          <w:rFonts w:asciiTheme="majorHAnsi" w:hAnsiTheme="majorHAnsi"/>
          <w:sz w:val="28"/>
          <w:szCs w:val="28"/>
          <w:lang w:val="ru-RU"/>
        </w:rPr>
        <w:t>;</w:t>
      </w:r>
    </w:p>
    <w:p w14:paraId="04C813EC" w14:textId="2742B7A9" w:rsidR="006002BC" w:rsidRPr="007020A5" w:rsidRDefault="006002BC" w:rsidP="007020A5">
      <w:pPr>
        <w:pStyle w:val="a3"/>
        <w:numPr>
          <w:ilvl w:val="3"/>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случаи, когда, при несовпадении фактических свойств товара со сведениями, указанными в товаросопроводительных документах, не применяются административные взыскания;</w:t>
      </w:r>
    </w:p>
    <w:p w14:paraId="59412926" w14:textId="77836F1B" w:rsidR="008D65D2" w:rsidRPr="007020A5" w:rsidRDefault="00AA5B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 xml:space="preserve">увеличить процент </w:t>
      </w:r>
      <w:proofErr w:type="spellStart"/>
      <w:r w:rsidRPr="007020A5">
        <w:rPr>
          <w:rFonts w:asciiTheme="majorHAnsi" w:hAnsiTheme="majorHAnsi"/>
          <w:sz w:val="28"/>
          <w:szCs w:val="28"/>
          <w:lang w:val="ru-RU"/>
        </w:rPr>
        <w:t>автовыпуска</w:t>
      </w:r>
      <w:proofErr w:type="spellEnd"/>
      <w:r w:rsidRPr="007020A5">
        <w:rPr>
          <w:rFonts w:asciiTheme="majorHAnsi" w:hAnsiTheme="majorHAnsi"/>
          <w:sz w:val="28"/>
          <w:szCs w:val="28"/>
          <w:lang w:val="ru-RU"/>
        </w:rPr>
        <w:t xml:space="preserve"> при выявлении низкого уровня риска;</w:t>
      </w:r>
    </w:p>
    <w:p w14:paraId="4EBEFC86" w14:textId="6D2A9427" w:rsidR="00AA5BA9" w:rsidRPr="007020A5" w:rsidRDefault="009D2EE5"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при выявлении среднего уровня риска допустить</w:t>
      </w:r>
      <w:r w:rsidR="005838F8" w:rsidRPr="007020A5">
        <w:rPr>
          <w:rFonts w:asciiTheme="majorHAnsi" w:hAnsiTheme="majorHAnsi"/>
          <w:sz w:val="28"/>
          <w:szCs w:val="28"/>
          <w:lang w:val="ru-RU"/>
        </w:rPr>
        <w:t>,</w:t>
      </w:r>
      <w:r w:rsidRPr="007020A5">
        <w:rPr>
          <w:rFonts w:asciiTheme="majorHAnsi" w:hAnsiTheme="majorHAnsi"/>
          <w:sz w:val="28"/>
          <w:szCs w:val="28"/>
          <w:lang w:val="ru-RU"/>
        </w:rPr>
        <w:t xml:space="preserve"> </w:t>
      </w:r>
      <w:r w:rsidR="005838F8" w:rsidRPr="007020A5">
        <w:rPr>
          <w:rFonts w:asciiTheme="majorHAnsi" w:hAnsiTheme="majorHAnsi"/>
          <w:sz w:val="28"/>
          <w:szCs w:val="28"/>
          <w:lang w:val="ru-RU"/>
        </w:rPr>
        <w:t xml:space="preserve">по истечении двух часов с момента принятия (регистрации) декларации таможенным органом (ИС таможенного органа), </w:t>
      </w:r>
      <w:r w:rsidRPr="007020A5">
        <w:rPr>
          <w:rFonts w:asciiTheme="majorHAnsi" w:hAnsiTheme="majorHAnsi"/>
          <w:sz w:val="28"/>
          <w:szCs w:val="28"/>
          <w:lang w:val="ru-RU"/>
        </w:rPr>
        <w:t xml:space="preserve">выгрузку на избранный получателем СВХ (таможенный склад) </w:t>
      </w:r>
      <w:r w:rsidR="005838F8" w:rsidRPr="007020A5">
        <w:rPr>
          <w:rFonts w:asciiTheme="majorHAnsi" w:hAnsiTheme="majorHAnsi"/>
          <w:sz w:val="28"/>
          <w:szCs w:val="28"/>
          <w:lang w:val="ru-RU"/>
        </w:rPr>
        <w:t xml:space="preserve">при </w:t>
      </w:r>
      <w:r w:rsidRPr="007020A5">
        <w:rPr>
          <w:rFonts w:asciiTheme="majorHAnsi" w:hAnsiTheme="majorHAnsi"/>
          <w:sz w:val="28"/>
          <w:szCs w:val="28"/>
          <w:lang w:val="ru-RU"/>
        </w:rPr>
        <w:t>отсутствии со стороны таможенного органа действий, завершающих таможенное оформление, и каких-либо извещений о назначении таможенного досмотра;</w:t>
      </w:r>
    </w:p>
    <w:p w14:paraId="147E8167" w14:textId="717DF620" w:rsidR="001967A9" w:rsidRPr="007020A5" w:rsidRDefault="001967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Не требовать приложение документов к таможенной декларации. Документы предоставляются только по запросу таможни, как правило основанному на работе СУР;</w:t>
      </w:r>
    </w:p>
    <w:p w14:paraId="66D4B369" w14:textId="08F3B9FC" w:rsidR="009D2EE5" w:rsidRPr="007020A5" w:rsidRDefault="009D2EE5" w:rsidP="007020A5">
      <w:pPr>
        <w:pStyle w:val="a3"/>
        <w:numPr>
          <w:ilvl w:val="1"/>
          <w:numId w:val="1"/>
        </w:numPr>
        <w:spacing w:after="240" w:line="276" w:lineRule="auto"/>
        <w:jc w:val="both"/>
        <w:rPr>
          <w:rFonts w:asciiTheme="majorHAnsi" w:hAnsiTheme="majorHAnsi"/>
          <w:i/>
          <w:iCs/>
          <w:sz w:val="28"/>
          <w:szCs w:val="28"/>
          <w:lang w:val="ru-RU"/>
        </w:rPr>
      </w:pPr>
      <w:r w:rsidRPr="007020A5">
        <w:rPr>
          <w:rFonts w:asciiTheme="majorHAnsi" w:hAnsiTheme="majorHAnsi"/>
          <w:i/>
          <w:iCs/>
          <w:sz w:val="28"/>
          <w:szCs w:val="28"/>
          <w:lang w:val="ru-RU"/>
        </w:rPr>
        <w:t>Опыт Таджикистана</w:t>
      </w:r>
    </w:p>
    <w:p w14:paraId="0932AF2C" w14:textId="55CF5C9B" w:rsidR="009D2EE5" w:rsidRDefault="007B4E38"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применять</w:t>
      </w:r>
      <w:r w:rsidR="009D2EE5" w:rsidRPr="007020A5">
        <w:rPr>
          <w:rFonts w:asciiTheme="majorHAnsi" w:hAnsiTheme="majorHAnsi"/>
          <w:sz w:val="28"/>
          <w:szCs w:val="28"/>
          <w:lang w:val="ru-RU"/>
        </w:rPr>
        <w:t xml:space="preserve"> условный выпуск товаров</w:t>
      </w:r>
      <w:r w:rsidRPr="007020A5">
        <w:rPr>
          <w:rFonts w:asciiTheme="majorHAnsi" w:hAnsiTheme="majorHAnsi"/>
          <w:sz w:val="28"/>
          <w:szCs w:val="28"/>
          <w:lang w:val="ru-RU"/>
        </w:rPr>
        <w:t>, с применением неполной таможенной декларации,</w:t>
      </w:r>
      <w:r w:rsidR="009D2EE5" w:rsidRPr="007020A5">
        <w:rPr>
          <w:rFonts w:asciiTheme="majorHAnsi" w:hAnsiTheme="majorHAnsi"/>
          <w:sz w:val="28"/>
          <w:szCs w:val="28"/>
          <w:lang w:val="ru-RU"/>
        </w:rPr>
        <w:t xml:space="preserve"> при </w:t>
      </w:r>
      <w:r w:rsidRPr="007020A5">
        <w:rPr>
          <w:rFonts w:asciiTheme="majorHAnsi" w:hAnsiTheme="majorHAnsi"/>
          <w:sz w:val="28"/>
          <w:szCs w:val="28"/>
          <w:lang w:val="ru-RU"/>
        </w:rPr>
        <w:t>отсутствии</w:t>
      </w:r>
      <w:r w:rsidR="009D2EE5" w:rsidRPr="007020A5">
        <w:rPr>
          <w:rFonts w:asciiTheme="majorHAnsi" w:hAnsiTheme="majorHAnsi"/>
          <w:sz w:val="28"/>
          <w:szCs w:val="28"/>
          <w:lang w:val="ru-RU"/>
        </w:rPr>
        <w:t xml:space="preserve"> </w:t>
      </w:r>
      <w:r w:rsidRPr="007020A5">
        <w:rPr>
          <w:rFonts w:asciiTheme="majorHAnsi" w:hAnsiTheme="majorHAnsi"/>
          <w:sz w:val="28"/>
          <w:szCs w:val="28"/>
          <w:lang w:val="ru-RU"/>
        </w:rPr>
        <w:t>сертификатов соответствия и/или гигиенических сертификатов (санитарно-гигиенических заключений), с обязательством их последующего предоставления при подаче полной таможенной декларации;</w:t>
      </w:r>
    </w:p>
    <w:p w14:paraId="0F207B48" w14:textId="77777777" w:rsidR="007020A5" w:rsidRPr="007020A5" w:rsidRDefault="007020A5" w:rsidP="007020A5">
      <w:pPr>
        <w:pStyle w:val="a3"/>
        <w:spacing w:after="240" w:line="276" w:lineRule="auto"/>
        <w:ind w:left="2160"/>
        <w:jc w:val="both"/>
        <w:rPr>
          <w:rFonts w:asciiTheme="majorHAnsi" w:hAnsiTheme="majorHAnsi"/>
          <w:sz w:val="28"/>
          <w:szCs w:val="28"/>
          <w:lang w:val="ru-RU"/>
        </w:rPr>
      </w:pPr>
    </w:p>
    <w:p w14:paraId="4C6B4835" w14:textId="050EC03F" w:rsidR="008D65D2" w:rsidRPr="007020A5" w:rsidRDefault="007B4E38" w:rsidP="007020A5">
      <w:pPr>
        <w:pStyle w:val="a3"/>
        <w:numPr>
          <w:ilvl w:val="1"/>
          <w:numId w:val="1"/>
        </w:numPr>
        <w:spacing w:after="240" w:line="276" w:lineRule="auto"/>
        <w:jc w:val="both"/>
        <w:rPr>
          <w:rFonts w:asciiTheme="majorHAnsi" w:hAnsiTheme="majorHAnsi"/>
          <w:i/>
          <w:iCs/>
          <w:sz w:val="28"/>
          <w:szCs w:val="28"/>
          <w:lang w:val="ru-RU"/>
        </w:rPr>
      </w:pPr>
      <w:r w:rsidRPr="007020A5">
        <w:rPr>
          <w:rFonts w:asciiTheme="majorHAnsi" w:hAnsiTheme="majorHAnsi"/>
          <w:i/>
          <w:iCs/>
          <w:sz w:val="28"/>
          <w:szCs w:val="28"/>
          <w:lang w:val="ru-RU"/>
        </w:rPr>
        <w:lastRenderedPageBreak/>
        <w:t>Опыт Кыргызстана</w:t>
      </w:r>
    </w:p>
    <w:p w14:paraId="21F1E497" w14:textId="685F01A5" w:rsidR="007B4E38" w:rsidRPr="007020A5" w:rsidRDefault="001967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не</w:t>
      </w:r>
      <w:r w:rsidR="007B4E38" w:rsidRPr="007020A5">
        <w:rPr>
          <w:rFonts w:asciiTheme="majorHAnsi" w:hAnsiTheme="majorHAnsi"/>
          <w:sz w:val="28"/>
          <w:szCs w:val="28"/>
          <w:lang w:val="ru-RU"/>
        </w:rPr>
        <w:t xml:space="preserve"> ограничивать передвижения</w:t>
      </w:r>
      <w:r w:rsidRPr="007020A5">
        <w:rPr>
          <w:rFonts w:asciiTheme="majorHAnsi" w:hAnsiTheme="majorHAnsi"/>
          <w:sz w:val="28"/>
          <w:szCs w:val="28"/>
          <w:lang w:val="ru-RU"/>
        </w:rPr>
        <w:t xml:space="preserve"> транспортных средств, принадлежащих таможенным брокерам,</w:t>
      </w:r>
      <w:r w:rsidR="007B4E38" w:rsidRPr="007020A5">
        <w:rPr>
          <w:rFonts w:asciiTheme="majorHAnsi" w:hAnsiTheme="majorHAnsi"/>
          <w:sz w:val="28"/>
          <w:szCs w:val="28"/>
          <w:lang w:val="ru-RU"/>
        </w:rPr>
        <w:t xml:space="preserve"> при введении общих ограничений на передвижение во время карантинных мер;</w:t>
      </w:r>
    </w:p>
    <w:p w14:paraId="5F98D420" w14:textId="4A3ED319" w:rsidR="007B4E38" w:rsidRPr="007020A5" w:rsidRDefault="007B4E38" w:rsidP="007020A5">
      <w:pPr>
        <w:pStyle w:val="a3"/>
        <w:numPr>
          <w:ilvl w:val="1"/>
          <w:numId w:val="1"/>
        </w:numPr>
        <w:spacing w:after="240" w:line="276" w:lineRule="auto"/>
        <w:jc w:val="both"/>
        <w:rPr>
          <w:rFonts w:asciiTheme="majorHAnsi" w:hAnsiTheme="majorHAnsi"/>
          <w:i/>
          <w:iCs/>
          <w:sz w:val="28"/>
          <w:szCs w:val="28"/>
          <w:lang w:val="ru-RU"/>
        </w:rPr>
      </w:pPr>
      <w:r w:rsidRPr="007020A5">
        <w:rPr>
          <w:rFonts w:asciiTheme="majorHAnsi" w:hAnsiTheme="majorHAnsi"/>
          <w:i/>
          <w:iCs/>
          <w:sz w:val="28"/>
          <w:szCs w:val="28"/>
          <w:lang w:val="ru-RU"/>
        </w:rPr>
        <w:t>Опыт России</w:t>
      </w:r>
      <w:r w:rsidR="00356A11" w:rsidRPr="007020A5">
        <w:rPr>
          <w:rFonts w:asciiTheme="majorHAnsi" w:hAnsiTheme="majorHAnsi"/>
          <w:i/>
          <w:iCs/>
          <w:sz w:val="28"/>
          <w:szCs w:val="28"/>
          <w:lang w:val="ru-RU"/>
        </w:rPr>
        <w:t xml:space="preserve"> (касательно электронного документооборота и электронных платежей)</w:t>
      </w:r>
    </w:p>
    <w:p w14:paraId="1379F5A0" w14:textId="2E6AB4B2" w:rsidR="007B4E38" w:rsidRPr="007020A5" w:rsidRDefault="001967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подавать</w:t>
      </w:r>
      <w:r w:rsidR="00356A11" w:rsidRPr="007020A5">
        <w:rPr>
          <w:rFonts w:asciiTheme="majorHAnsi" w:hAnsiTheme="majorHAnsi"/>
          <w:sz w:val="28"/>
          <w:szCs w:val="28"/>
          <w:lang w:val="ru-RU"/>
        </w:rPr>
        <w:t xml:space="preserve"> сведени</w:t>
      </w:r>
      <w:r w:rsidRPr="007020A5">
        <w:rPr>
          <w:rFonts w:asciiTheme="majorHAnsi" w:hAnsiTheme="majorHAnsi"/>
          <w:sz w:val="28"/>
          <w:szCs w:val="28"/>
          <w:lang w:val="ru-RU"/>
        </w:rPr>
        <w:t>я</w:t>
      </w:r>
      <w:r w:rsidR="00356A11" w:rsidRPr="007020A5">
        <w:rPr>
          <w:rFonts w:asciiTheme="majorHAnsi" w:hAnsiTheme="majorHAnsi"/>
          <w:sz w:val="28"/>
          <w:szCs w:val="28"/>
          <w:lang w:val="ru-RU"/>
        </w:rPr>
        <w:t xml:space="preserve"> в информационную систему однократно (без последующего дублирования);</w:t>
      </w:r>
    </w:p>
    <w:p w14:paraId="18417F2E" w14:textId="567C1D0A" w:rsidR="00356A11" w:rsidRPr="007020A5" w:rsidRDefault="001967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ф</w:t>
      </w:r>
      <w:r w:rsidR="00356A11" w:rsidRPr="007020A5">
        <w:rPr>
          <w:rFonts w:asciiTheme="majorHAnsi" w:hAnsiTheme="majorHAnsi"/>
          <w:sz w:val="28"/>
          <w:szCs w:val="28"/>
          <w:lang w:val="ru-RU"/>
        </w:rPr>
        <w:t>ормализ</w:t>
      </w:r>
      <w:r w:rsidRPr="007020A5">
        <w:rPr>
          <w:rFonts w:asciiTheme="majorHAnsi" w:hAnsiTheme="majorHAnsi"/>
          <w:sz w:val="28"/>
          <w:szCs w:val="28"/>
          <w:lang w:val="ru-RU"/>
        </w:rPr>
        <w:t xml:space="preserve">овать </w:t>
      </w:r>
      <w:r w:rsidR="00356A11" w:rsidRPr="007020A5">
        <w:rPr>
          <w:rFonts w:asciiTheme="majorHAnsi" w:hAnsiTheme="majorHAnsi"/>
          <w:sz w:val="28"/>
          <w:szCs w:val="28"/>
          <w:lang w:val="ru-RU"/>
        </w:rPr>
        <w:t>документ</w:t>
      </w:r>
      <w:r w:rsidRPr="007020A5">
        <w:rPr>
          <w:rFonts w:asciiTheme="majorHAnsi" w:hAnsiTheme="majorHAnsi"/>
          <w:sz w:val="28"/>
          <w:szCs w:val="28"/>
          <w:lang w:val="ru-RU"/>
        </w:rPr>
        <w:t>ы</w:t>
      </w:r>
      <w:r w:rsidR="00356A11" w:rsidRPr="007020A5">
        <w:rPr>
          <w:rFonts w:asciiTheme="majorHAnsi" w:hAnsiTheme="majorHAnsi"/>
          <w:sz w:val="28"/>
          <w:szCs w:val="28"/>
          <w:lang w:val="ru-RU"/>
        </w:rPr>
        <w:t>;</w:t>
      </w:r>
    </w:p>
    <w:p w14:paraId="5F05BB42" w14:textId="3FDC65CC" w:rsidR="00356A11" w:rsidRPr="007020A5" w:rsidRDefault="001967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обеспечивать списание</w:t>
      </w:r>
      <w:r w:rsidR="00356A11" w:rsidRPr="007020A5">
        <w:rPr>
          <w:rFonts w:asciiTheme="majorHAnsi" w:hAnsiTheme="majorHAnsi"/>
          <w:sz w:val="28"/>
          <w:szCs w:val="28"/>
          <w:lang w:val="ru-RU"/>
        </w:rPr>
        <w:t xml:space="preserve"> сумм причитающихся</w:t>
      </w:r>
      <w:r w:rsidRPr="007020A5">
        <w:rPr>
          <w:rFonts w:asciiTheme="majorHAnsi" w:hAnsiTheme="majorHAnsi"/>
          <w:sz w:val="28"/>
          <w:szCs w:val="28"/>
          <w:lang w:val="ru-RU"/>
        </w:rPr>
        <w:t xml:space="preserve"> к уплате на основании</w:t>
      </w:r>
      <w:r w:rsidR="00356A11" w:rsidRPr="007020A5">
        <w:rPr>
          <w:rFonts w:asciiTheme="majorHAnsi" w:hAnsiTheme="majorHAnsi"/>
          <w:sz w:val="28"/>
          <w:szCs w:val="28"/>
          <w:lang w:val="ru-RU"/>
        </w:rPr>
        <w:t xml:space="preserve"> таможенной декларации таможенных платежей с расчетного счета, указанного в таможенной декларации;</w:t>
      </w:r>
    </w:p>
    <w:p w14:paraId="5151BF66" w14:textId="20EB6E29" w:rsidR="00356A11" w:rsidRPr="007020A5" w:rsidRDefault="001967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предоставить</w:t>
      </w:r>
      <w:r w:rsidR="00356A11" w:rsidRPr="007020A5">
        <w:rPr>
          <w:rFonts w:asciiTheme="majorHAnsi" w:hAnsiTheme="majorHAnsi"/>
          <w:sz w:val="28"/>
          <w:szCs w:val="28"/>
          <w:lang w:val="ru-RU"/>
        </w:rPr>
        <w:t xml:space="preserve"> доступ частным операторам для организации передачи информации (ПИ, декларация и т.д.) от декларанта в государственные информационные системы;</w:t>
      </w:r>
    </w:p>
    <w:p w14:paraId="55B25EA2" w14:textId="439176EA" w:rsidR="007B4E38" w:rsidRPr="007020A5" w:rsidRDefault="00356A11" w:rsidP="007020A5">
      <w:pPr>
        <w:pStyle w:val="a3"/>
        <w:numPr>
          <w:ilvl w:val="1"/>
          <w:numId w:val="1"/>
        </w:numPr>
        <w:spacing w:after="240" w:line="276" w:lineRule="auto"/>
        <w:jc w:val="both"/>
        <w:rPr>
          <w:rFonts w:asciiTheme="majorHAnsi" w:hAnsiTheme="majorHAnsi"/>
          <w:i/>
          <w:iCs/>
          <w:sz w:val="28"/>
          <w:szCs w:val="28"/>
          <w:lang w:val="ru-RU"/>
        </w:rPr>
      </w:pPr>
      <w:r w:rsidRPr="007020A5">
        <w:rPr>
          <w:rFonts w:asciiTheme="majorHAnsi" w:hAnsiTheme="majorHAnsi"/>
          <w:i/>
          <w:iCs/>
          <w:sz w:val="28"/>
          <w:szCs w:val="28"/>
          <w:lang w:val="ru-RU"/>
        </w:rPr>
        <w:t>Опыт Узбекистана</w:t>
      </w:r>
    </w:p>
    <w:p w14:paraId="3E8BD31D" w14:textId="78E79A9C" w:rsidR="00356A11" w:rsidRPr="007020A5" w:rsidRDefault="001967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не требовать осуществление обязательной сертификации соответствия на ввозимые в Республику Узбекистан товары, в отношении которых выданы сертификаты соответствия аккредитованными органами стран-членов Организации экономического сотрудничества и развития;</w:t>
      </w:r>
    </w:p>
    <w:p w14:paraId="6823545F" w14:textId="097230AB" w:rsidR="001967A9" w:rsidRPr="007020A5" w:rsidRDefault="001967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при представлении сертификатов соответствия или протоколов испытаний, выданных органами по сертификации стран, являющихся полноправными членами Международной организации по аккредитации лабораторий (ILAC) и Международного форума по аккредитации (IAF), освобождать субъекты предпринимательства от обязательной сертификации ввозимых для собственных производственных нужд товаров, используемых в производстве продукции, подлежащей обязательной сертификации;</w:t>
      </w:r>
    </w:p>
    <w:p w14:paraId="7CC1D115" w14:textId="5B625B74" w:rsidR="001967A9" w:rsidRPr="007020A5" w:rsidRDefault="001967A9" w:rsidP="007020A5">
      <w:pPr>
        <w:pStyle w:val="a3"/>
        <w:numPr>
          <w:ilvl w:val="2"/>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lastRenderedPageBreak/>
        <w:t xml:space="preserve">Рассмотреть на предмет обмена опытом и внедрения передовой практики </w:t>
      </w:r>
      <w:r w:rsidRPr="007020A5">
        <w:rPr>
          <w:rFonts w:asciiTheme="majorHAnsi" w:hAnsiTheme="majorHAnsi"/>
          <w:sz w:val="28"/>
          <w:szCs w:val="28"/>
          <w:lang w:val="uz-Cyrl-UZ"/>
        </w:rPr>
        <w:t>информацию об Указе</w:t>
      </w:r>
      <w:r w:rsidRPr="007020A5">
        <w:rPr>
          <w:rFonts w:asciiTheme="majorHAnsi" w:hAnsiTheme="majorHAnsi"/>
          <w:sz w:val="28"/>
          <w:szCs w:val="28"/>
          <w:lang w:val="ru-RU"/>
        </w:rPr>
        <w:t xml:space="preserve"> </w:t>
      </w:r>
      <w:r w:rsidRPr="007020A5">
        <w:rPr>
          <w:rFonts w:asciiTheme="majorHAnsi" w:hAnsiTheme="majorHAnsi"/>
          <w:sz w:val="28"/>
          <w:szCs w:val="28"/>
          <w:lang w:val="uz-Cyrl-UZ"/>
        </w:rPr>
        <w:t>Президента Республики Узбекистан</w:t>
      </w:r>
      <w:r w:rsidR="00351C0A" w:rsidRPr="007020A5">
        <w:rPr>
          <w:rFonts w:asciiTheme="majorHAnsi" w:hAnsiTheme="majorHAnsi"/>
          <w:sz w:val="28"/>
          <w:szCs w:val="28"/>
          <w:lang w:val="uz-Cyrl-UZ"/>
        </w:rPr>
        <w:t xml:space="preserve"> </w:t>
      </w:r>
      <w:r w:rsidRPr="007020A5">
        <w:rPr>
          <w:rFonts w:asciiTheme="majorHAnsi" w:hAnsiTheme="majorHAnsi"/>
          <w:sz w:val="28"/>
          <w:szCs w:val="28"/>
          <w:lang w:val="uz-Cyrl-UZ"/>
        </w:rPr>
        <w:t>“</w:t>
      </w:r>
      <w:r w:rsidR="00351C0A" w:rsidRPr="007020A5">
        <w:rPr>
          <w:rFonts w:asciiTheme="majorHAnsi" w:hAnsiTheme="majorHAnsi"/>
          <w:sz w:val="28"/>
          <w:szCs w:val="28"/>
          <w:lang w:val="ru-RU"/>
        </w:rPr>
        <w:t xml:space="preserve">О </w:t>
      </w:r>
      <w:r w:rsidRPr="007020A5">
        <w:rPr>
          <w:rFonts w:asciiTheme="majorHAnsi" w:hAnsiTheme="majorHAnsi"/>
          <w:sz w:val="28"/>
          <w:szCs w:val="28"/>
          <w:lang w:val="ru-RU"/>
        </w:rPr>
        <w:t xml:space="preserve">реформировании таможенного администрирования и совершенствовании деятельности органов государственной таможенной службы </w:t>
      </w:r>
      <w:r w:rsidR="00351C0A" w:rsidRPr="007020A5">
        <w:rPr>
          <w:rFonts w:asciiTheme="majorHAnsi" w:hAnsiTheme="majorHAnsi"/>
          <w:sz w:val="28"/>
          <w:szCs w:val="28"/>
          <w:lang w:val="ru-RU"/>
        </w:rPr>
        <w:t>Республики Узбекистан</w:t>
      </w:r>
      <w:r w:rsidRPr="007020A5">
        <w:rPr>
          <w:rFonts w:asciiTheme="majorHAnsi" w:hAnsiTheme="majorHAnsi"/>
          <w:sz w:val="28"/>
          <w:szCs w:val="28"/>
          <w:lang w:val="uz-Cyrl-UZ"/>
        </w:rPr>
        <w:t>”</w:t>
      </w:r>
      <w:r w:rsidR="00351C0A" w:rsidRPr="007020A5">
        <w:rPr>
          <w:rFonts w:asciiTheme="majorHAnsi" w:hAnsiTheme="majorHAnsi"/>
          <w:sz w:val="28"/>
          <w:szCs w:val="28"/>
          <w:lang w:val="uz-Cyrl-UZ"/>
        </w:rPr>
        <w:t>, представленную таможенными органами Республики Узбекистан в ходе проведения Конференции.</w:t>
      </w:r>
    </w:p>
    <w:p w14:paraId="75A081E0" w14:textId="12022A06" w:rsidR="00C86BE6" w:rsidRPr="007020A5" w:rsidRDefault="00C86BE6" w:rsidP="007020A5">
      <w:pPr>
        <w:pStyle w:val="a3"/>
        <w:numPr>
          <w:ilvl w:val="0"/>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Запланировать и провести встречу с экспертами ЕС, с участием АТБ/П и таможен ЦАР, на тему «Уполномоченные экономические операторы. Услови</w:t>
      </w:r>
      <w:r w:rsidR="00FD2D51" w:rsidRPr="007020A5">
        <w:rPr>
          <w:rFonts w:asciiTheme="majorHAnsi" w:hAnsiTheme="majorHAnsi"/>
          <w:sz w:val="28"/>
          <w:szCs w:val="28"/>
          <w:lang w:val="ru-RU"/>
        </w:rPr>
        <w:t>я</w:t>
      </w:r>
      <w:r w:rsidRPr="007020A5">
        <w:rPr>
          <w:rFonts w:asciiTheme="majorHAnsi" w:hAnsiTheme="majorHAnsi"/>
          <w:sz w:val="28"/>
          <w:szCs w:val="28"/>
          <w:lang w:val="ru-RU"/>
        </w:rPr>
        <w:t xml:space="preserve"> доверия и предоставляемые упрощения»;</w:t>
      </w:r>
    </w:p>
    <w:p w14:paraId="316D5CD0" w14:textId="7B7DED10" w:rsidR="00C86BE6" w:rsidRPr="007020A5" w:rsidRDefault="008A67E2" w:rsidP="007020A5">
      <w:pPr>
        <w:pStyle w:val="a3"/>
        <w:numPr>
          <w:ilvl w:val="0"/>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Увеличивать взаимодействие в рамках планов СУПТ на региональном уровне;</w:t>
      </w:r>
      <w:r w:rsidR="00C86BE6" w:rsidRPr="007020A5">
        <w:rPr>
          <w:rFonts w:asciiTheme="majorHAnsi" w:hAnsiTheme="majorHAnsi"/>
          <w:sz w:val="28"/>
          <w:szCs w:val="28"/>
          <w:lang w:val="ru-RU"/>
        </w:rPr>
        <w:t xml:space="preserve">  </w:t>
      </w:r>
    </w:p>
    <w:p w14:paraId="53C8A2C4" w14:textId="657A5276" w:rsidR="009028AE" w:rsidRPr="007020A5" w:rsidRDefault="009028AE" w:rsidP="007020A5">
      <w:pPr>
        <w:pStyle w:val="a3"/>
        <w:numPr>
          <w:ilvl w:val="0"/>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 xml:space="preserve">Усилить взаимодействие ассоциаций, как между собой, так и </w:t>
      </w:r>
      <w:r w:rsidR="00E80342" w:rsidRPr="007020A5">
        <w:rPr>
          <w:rFonts w:asciiTheme="majorHAnsi" w:hAnsiTheme="majorHAnsi"/>
          <w:sz w:val="28"/>
          <w:szCs w:val="28"/>
          <w:lang w:val="ru-RU"/>
        </w:rPr>
        <w:t xml:space="preserve">с государственными органами и </w:t>
      </w:r>
      <w:r w:rsidRPr="007020A5">
        <w:rPr>
          <w:rFonts w:asciiTheme="majorHAnsi" w:hAnsiTheme="majorHAnsi"/>
          <w:sz w:val="28"/>
          <w:szCs w:val="28"/>
          <w:lang w:val="ru-RU"/>
        </w:rPr>
        <w:t>иными заинтересованными лицами, в целях развития информирования бизнес-среды путем:</w:t>
      </w:r>
    </w:p>
    <w:p w14:paraId="1556DCA7" w14:textId="49011364" w:rsidR="009028AE" w:rsidRPr="007020A5" w:rsidRDefault="009028AE" w:rsidP="007020A5">
      <w:pPr>
        <w:pStyle w:val="a3"/>
        <w:numPr>
          <w:ilvl w:val="1"/>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Дальнейшего развития и продвижения Информационного портала АТБ(П) ЦАР (</w:t>
      </w:r>
      <w:hyperlink r:id="rId6" w:history="1">
        <w:r w:rsidRPr="007020A5">
          <w:rPr>
            <w:rStyle w:val="a8"/>
            <w:rFonts w:asciiTheme="majorHAnsi" w:hAnsiTheme="majorHAnsi"/>
            <w:sz w:val="28"/>
            <w:szCs w:val="28"/>
            <w:lang w:val="ru-RU"/>
          </w:rPr>
          <w:t>https://asian-cba.com/</w:t>
        </w:r>
      </w:hyperlink>
      <w:r w:rsidRPr="007020A5">
        <w:rPr>
          <w:rFonts w:asciiTheme="majorHAnsi" w:hAnsiTheme="majorHAnsi"/>
          <w:sz w:val="28"/>
          <w:szCs w:val="28"/>
          <w:lang w:val="ru-RU"/>
        </w:rPr>
        <w:t>), включая наполнение полезным контентом от всех желающих партнеров</w:t>
      </w:r>
      <w:r w:rsidR="00351C0A" w:rsidRPr="007020A5">
        <w:rPr>
          <w:rFonts w:asciiTheme="majorHAnsi" w:hAnsiTheme="majorHAnsi"/>
          <w:sz w:val="28"/>
          <w:szCs w:val="28"/>
          <w:lang w:val="ru-RU"/>
        </w:rPr>
        <w:t>, с возможным развитием (в рамках государственно-частного партнерства) до совместного регионального портала таможенных администраций и АТБ/П Центрально-Азиатского региона</w:t>
      </w:r>
      <w:r w:rsidRPr="007020A5">
        <w:rPr>
          <w:rFonts w:asciiTheme="majorHAnsi" w:hAnsiTheme="majorHAnsi"/>
          <w:sz w:val="28"/>
          <w:szCs w:val="28"/>
          <w:lang w:val="ru-RU"/>
        </w:rPr>
        <w:t>;</w:t>
      </w:r>
    </w:p>
    <w:p w14:paraId="3BD9BE0F" w14:textId="5B480806" w:rsidR="009028AE" w:rsidRPr="007020A5" w:rsidRDefault="009028AE" w:rsidP="007020A5">
      <w:pPr>
        <w:pStyle w:val="a3"/>
        <w:numPr>
          <w:ilvl w:val="1"/>
          <w:numId w:val="1"/>
        </w:numPr>
        <w:spacing w:after="240" w:line="276" w:lineRule="auto"/>
        <w:jc w:val="both"/>
        <w:rPr>
          <w:rFonts w:asciiTheme="majorHAnsi" w:hAnsiTheme="majorHAnsi"/>
          <w:sz w:val="28"/>
          <w:szCs w:val="28"/>
          <w:lang w:val="ru-RU"/>
        </w:rPr>
      </w:pPr>
      <w:bookmarkStart w:id="0" w:name="_Hlk53601978"/>
      <w:r w:rsidRPr="007020A5">
        <w:rPr>
          <w:rFonts w:asciiTheme="majorHAnsi" w:hAnsiTheme="majorHAnsi"/>
          <w:sz w:val="28"/>
          <w:szCs w:val="28"/>
          <w:lang w:val="ru-RU"/>
        </w:rPr>
        <w:t>Обучение участников ВЭД и таможенных брокеров требованиям и правилам, установленным в сопредельных государствах;</w:t>
      </w:r>
    </w:p>
    <w:p w14:paraId="110BBFFB" w14:textId="75E1774D" w:rsidR="006015F0" w:rsidRPr="007020A5" w:rsidRDefault="006015F0" w:rsidP="007020A5">
      <w:pPr>
        <w:pStyle w:val="a3"/>
        <w:numPr>
          <w:ilvl w:val="0"/>
          <w:numId w:val="1"/>
        </w:numPr>
        <w:spacing w:after="240" w:line="276" w:lineRule="auto"/>
        <w:jc w:val="both"/>
        <w:rPr>
          <w:rFonts w:asciiTheme="majorHAnsi" w:hAnsiTheme="majorHAnsi"/>
          <w:sz w:val="28"/>
          <w:szCs w:val="28"/>
          <w:lang w:val="ru-RU"/>
        </w:rPr>
      </w:pPr>
      <w:r w:rsidRPr="007020A5">
        <w:rPr>
          <w:rFonts w:asciiTheme="majorHAnsi" w:hAnsiTheme="majorHAnsi"/>
          <w:sz w:val="28"/>
          <w:szCs w:val="28"/>
          <w:lang w:val="ru-RU"/>
        </w:rPr>
        <w:t xml:space="preserve">Выполнять, </w:t>
      </w:r>
      <w:r w:rsidR="00351C0A" w:rsidRPr="007020A5">
        <w:rPr>
          <w:rFonts w:asciiTheme="majorHAnsi" w:hAnsiTheme="majorHAnsi"/>
          <w:sz w:val="28"/>
          <w:szCs w:val="28"/>
          <w:lang w:val="ru-RU"/>
        </w:rPr>
        <w:t>по мере возможностей</w:t>
      </w:r>
      <w:r w:rsidRPr="007020A5">
        <w:rPr>
          <w:rFonts w:asciiTheme="majorHAnsi" w:hAnsiTheme="majorHAnsi"/>
          <w:sz w:val="28"/>
          <w:szCs w:val="28"/>
          <w:lang w:val="ru-RU"/>
        </w:rPr>
        <w:t xml:space="preserve">, следующие меры, направленные на </w:t>
      </w:r>
      <w:bookmarkEnd w:id="0"/>
      <w:r w:rsidRPr="007020A5">
        <w:rPr>
          <w:rFonts w:asciiTheme="majorHAnsi" w:hAnsiTheme="majorHAnsi"/>
          <w:sz w:val="28"/>
          <w:szCs w:val="28"/>
          <w:lang w:val="ru-RU"/>
        </w:rPr>
        <w:t>упрощение процедур, связанных со стремлением к нулевому контакту при осуществлении ВЭД:</w:t>
      </w:r>
    </w:p>
    <w:p w14:paraId="0F6E55D2" w14:textId="16DF0F2A" w:rsidR="007020A5" w:rsidRDefault="007020A5" w:rsidP="007020A5">
      <w:pPr>
        <w:pStyle w:val="a3"/>
        <w:spacing w:after="240" w:line="276" w:lineRule="auto"/>
        <w:ind w:left="720"/>
        <w:jc w:val="both"/>
        <w:rPr>
          <w:rFonts w:asciiTheme="majorHAnsi" w:hAnsiTheme="majorHAnsi"/>
          <w:sz w:val="28"/>
          <w:szCs w:val="28"/>
          <w:lang w:val="ru-RU"/>
        </w:rPr>
      </w:pPr>
    </w:p>
    <w:p w14:paraId="065588BE" w14:textId="1A6B8345" w:rsidR="007020A5" w:rsidRDefault="007020A5" w:rsidP="007020A5">
      <w:pPr>
        <w:pStyle w:val="a3"/>
        <w:spacing w:after="240" w:line="276" w:lineRule="auto"/>
        <w:ind w:left="720"/>
        <w:jc w:val="both"/>
        <w:rPr>
          <w:rFonts w:asciiTheme="majorHAnsi" w:hAnsiTheme="majorHAnsi"/>
          <w:sz w:val="28"/>
          <w:szCs w:val="28"/>
          <w:lang w:val="ru-RU"/>
        </w:rPr>
      </w:pPr>
    </w:p>
    <w:p w14:paraId="2997A1EB" w14:textId="77777777" w:rsidR="007020A5" w:rsidRPr="007020A5" w:rsidRDefault="007020A5" w:rsidP="007020A5">
      <w:pPr>
        <w:pStyle w:val="a3"/>
        <w:spacing w:after="240" w:line="276" w:lineRule="auto"/>
        <w:ind w:left="720"/>
        <w:jc w:val="both"/>
        <w:rPr>
          <w:rFonts w:asciiTheme="majorHAnsi" w:hAnsiTheme="majorHAnsi"/>
          <w:sz w:val="28"/>
          <w:szCs w:val="28"/>
          <w:lang w:val="ru-RU"/>
        </w:rPr>
      </w:pPr>
    </w:p>
    <w:p w14:paraId="0AD0C845" w14:textId="2B0EE7DB" w:rsidR="006015F0" w:rsidRPr="007020A5" w:rsidRDefault="006015F0" w:rsidP="007020A5">
      <w:pPr>
        <w:pStyle w:val="aa"/>
        <w:numPr>
          <w:ilvl w:val="0"/>
          <w:numId w:val="3"/>
        </w:numPr>
        <w:spacing w:before="120" w:after="240" w:line="276" w:lineRule="auto"/>
        <w:ind w:left="1418" w:hanging="357"/>
        <w:contextualSpacing w:val="0"/>
        <w:jc w:val="both"/>
        <w:rPr>
          <w:rFonts w:asciiTheme="majorHAnsi" w:hAnsiTheme="majorHAnsi"/>
          <w:b/>
          <w:bCs/>
          <w:sz w:val="28"/>
          <w:szCs w:val="28"/>
        </w:rPr>
      </w:pPr>
      <w:r w:rsidRPr="007020A5">
        <w:rPr>
          <w:rFonts w:asciiTheme="majorHAnsi" w:hAnsiTheme="majorHAnsi"/>
          <w:b/>
          <w:bCs/>
          <w:sz w:val="28"/>
          <w:szCs w:val="28"/>
        </w:rPr>
        <w:lastRenderedPageBreak/>
        <w:t>МЕРЫ, ПРЕДПРИНИМАЕМЫЕ СО СТОРОНЫ БИЗНЕСА</w:t>
      </w:r>
    </w:p>
    <w:p w14:paraId="2D72E02D" w14:textId="77777777" w:rsidR="007020A5" w:rsidRPr="007020A5" w:rsidRDefault="007020A5" w:rsidP="007020A5">
      <w:pPr>
        <w:pStyle w:val="aa"/>
        <w:spacing w:before="120" w:after="240" w:line="276" w:lineRule="auto"/>
        <w:ind w:left="1418"/>
        <w:contextualSpacing w:val="0"/>
        <w:jc w:val="both"/>
        <w:rPr>
          <w:rFonts w:asciiTheme="majorHAnsi" w:hAnsiTheme="majorHAnsi"/>
          <w:b/>
          <w:bCs/>
          <w:sz w:val="28"/>
          <w:szCs w:val="28"/>
        </w:rPr>
      </w:pPr>
    </w:p>
    <w:p w14:paraId="069FA881" w14:textId="77777777" w:rsidR="006015F0" w:rsidRPr="007020A5" w:rsidRDefault="006015F0" w:rsidP="007020A5">
      <w:pPr>
        <w:pStyle w:val="aa"/>
        <w:spacing w:after="240" w:line="276" w:lineRule="auto"/>
        <w:ind w:left="1418"/>
        <w:jc w:val="both"/>
        <w:rPr>
          <w:rFonts w:asciiTheme="majorHAnsi" w:hAnsiTheme="majorHAnsi"/>
          <w:b/>
          <w:i/>
          <w:sz w:val="28"/>
          <w:szCs w:val="28"/>
        </w:rPr>
      </w:pPr>
      <w:r w:rsidRPr="007020A5">
        <w:rPr>
          <w:rFonts w:asciiTheme="majorHAnsi" w:hAnsiTheme="majorHAnsi"/>
          <w:b/>
          <w:i/>
          <w:sz w:val="28"/>
          <w:szCs w:val="28"/>
        </w:rPr>
        <w:t>Таможенным складам, таможенным брокерам, перевозчикам, экспедиторам и иным участникам ВЭД рекомендуется:</w:t>
      </w:r>
    </w:p>
    <w:p w14:paraId="36102180" w14:textId="77777777" w:rsidR="006015F0" w:rsidRPr="007020A5" w:rsidRDefault="006015F0" w:rsidP="007020A5">
      <w:pPr>
        <w:pStyle w:val="aa"/>
        <w:numPr>
          <w:ilvl w:val="1"/>
          <w:numId w:val="4"/>
        </w:numPr>
        <w:spacing w:after="240" w:line="276" w:lineRule="auto"/>
        <w:ind w:left="1418" w:hanging="578"/>
        <w:jc w:val="both"/>
        <w:rPr>
          <w:rFonts w:asciiTheme="majorHAnsi" w:hAnsiTheme="majorHAnsi"/>
          <w:sz w:val="28"/>
          <w:szCs w:val="28"/>
        </w:rPr>
      </w:pPr>
      <w:r w:rsidRPr="007020A5">
        <w:rPr>
          <w:rFonts w:asciiTheme="majorHAnsi" w:hAnsiTheme="majorHAnsi"/>
          <w:sz w:val="28"/>
          <w:szCs w:val="28"/>
        </w:rPr>
        <w:t>Использовать электронные средства коммуникаций для заключения договоров, обмена счетами-фактурами и доверенностями;</w:t>
      </w:r>
    </w:p>
    <w:p w14:paraId="23E1EDAA" w14:textId="77777777" w:rsidR="006015F0" w:rsidRPr="007020A5" w:rsidRDefault="006015F0" w:rsidP="007020A5">
      <w:pPr>
        <w:pStyle w:val="aa"/>
        <w:numPr>
          <w:ilvl w:val="1"/>
          <w:numId w:val="4"/>
        </w:numPr>
        <w:spacing w:after="240" w:line="276" w:lineRule="auto"/>
        <w:ind w:left="1418" w:hanging="578"/>
        <w:jc w:val="both"/>
        <w:rPr>
          <w:rFonts w:asciiTheme="majorHAnsi" w:hAnsiTheme="majorHAnsi"/>
          <w:sz w:val="28"/>
          <w:szCs w:val="28"/>
        </w:rPr>
      </w:pPr>
      <w:r w:rsidRPr="007020A5">
        <w:rPr>
          <w:rFonts w:asciiTheme="majorHAnsi" w:hAnsiTheme="majorHAnsi"/>
          <w:sz w:val="28"/>
          <w:szCs w:val="28"/>
        </w:rPr>
        <w:t>Где это возможно, использовать договора в форме публичной оферты;</w:t>
      </w:r>
    </w:p>
    <w:p w14:paraId="2D675525" w14:textId="77777777" w:rsidR="006015F0" w:rsidRPr="007020A5" w:rsidRDefault="006015F0" w:rsidP="007020A5">
      <w:pPr>
        <w:pStyle w:val="aa"/>
        <w:numPr>
          <w:ilvl w:val="1"/>
          <w:numId w:val="4"/>
        </w:numPr>
        <w:spacing w:after="240" w:line="276" w:lineRule="auto"/>
        <w:ind w:left="1418" w:hanging="578"/>
        <w:jc w:val="both"/>
        <w:rPr>
          <w:rFonts w:asciiTheme="majorHAnsi" w:hAnsiTheme="majorHAnsi"/>
          <w:sz w:val="28"/>
          <w:szCs w:val="28"/>
        </w:rPr>
      </w:pPr>
      <w:r w:rsidRPr="007020A5">
        <w:rPr>
          <w:rFonts w:asciiTheme="majorHAnsi" w:hAnsiTheme="majorHAnsi"/>
          <w:sz w:val="28"/>
          <w:szCs w:val="28"/>
        </w:rPr>
        <w:t xml:space="preserve">Включать в договора пункт следующего содержания: </w:t>
      </w:r>
      <w:r w:rsidRPr="007020A5">
        <w:rPr>
          <w:rFonts w:asciiTheme="majorHAnsi" w:hAnsiTheme="majorHAnsi"/>
          <w:sz w:val="28"/>
          <w:szCs w:val="28"/>
        </w:rPr>
        <w:br/>
        <w:t>«любые документы считаются официально отправленными или полученными и имеют юридическую силу для сторон договора, если отправлены и получены с использованием следующих электронных почтовых адресов:</w:t>
      </w:r>
    </w:p>
    <w:p w14:paraId="703A43BB" w14:textId="77777777" w:rsidR="006015F0" w:rsidRPr="007020A5" w:rsidRDefault="006015F0" w:rsidP="007020A5">
      <w:pPr>
        <w:pStyle w:val="aa"/>
        <w:numPr>
          <w:ilvl w:val="0"/>
          <w:numId w:val="5"/>
        </w:numPr>
        <w:spacing w:after="240" w:line="276" w:lineRule="auto"/>
        <w:ind w:left="1418"/>
        <w:jc w:val="both"/>
        <w:rPr>
          <w:rFonts w:asciiTheme="majorHAnsi" w:hAnsiTheme="majorHAnsi"/>
          <w:sz w:val="28"/>
          <w:szCs w:val="28"/>
        </w:rPr>
      </w:pPr>
      <w:r w:rsidRPr="007020A5">
        <w:rPr>
          <w:rFonts w:asciiTheme="majorHAnsi" w:hAnsiTheme="majorHAnsi"/>
          <w:sz w:val="28"/>
          <w:szCs w:val="28"/>
          <w:lang w:val="en-US"/>
        </w:rPr>
        <w:t xml:space="preserve">email </w:t>
      </w:r>
      <w:r w:rsidRPr="007020A5">
        <w:rPr>
          <w:rFonts w:asciiTheme="majorHAnsi" w:hAnsiTheme="majorHAnsi"/>
          <w:sz w:val="28"/>
          <w:szCs w:val="28"/>
        </w:rPr>
        <w:t xml:space="preserve">Стороны </w:t>
      </w:r>
      <w:proofErr w:type="gramStart"/>
      <w:r w:rsidRPr="007020A5">
        <w:rPr>
          <w:rFonts w:asciiTheme="majorHAnsi" w:hAnsiTheme="majorHAnsi"/>
          <w:sz w:val="28"/>
          <w:szCs w:val="28"/>
        </w:rPr>
        <w:t>1  _</w:t>
      </w:r>
      <w:proofErr w:type="gramEnd"/>
      <w:r w:rsidRPr="007020A5">
        <w:rPr>
          <w:rFonts w:asciiTheme="majorHAnsi" w:hAnsiTheme="majorHAnsi"/>
          <w:sz w:val="28"/>
          <w:szCs w:val="28"/>
        </w:rPr>
        <w:t>_________________</w:t>
      </w:r>
    </w:p>
    <w:p w14:paraId="06454E3B" w14:textId="77777777" w:rsidR="006015F0" w:rsidRPr="007020A5" w:rsidRDefault="006015F0" w:rsidP="007020A5">
      <w:pPr>
        <w:pStyle w:val="aa"/>
        <w:numPr>
          <w:ilvl w:val="0"/>
          <w:numId w:val="5"/>
        </w:numPr>
        <w:spacing w:after="240" w:line="276" w:lineRule="auto"/>
        <w:ind w:left="1418"/>
        <w:jc w:val="both"/>
        <w:rPr>
          <w:rFonts w:asciiTheme="majorHAnsi" w:hAnsiTheme="majorHAnsi"/>
          <w:sz w:val="28"/>
          <w:szCs w:val="28"/>
        </w:rPr>
      </w:pPr>
      <w:r w:rsidRPr="007020A5">
        <w:rPr>
          <w:rFonts w:asciiTheme="majorHAnsi" w:hAnsiTheme="majorHAnsi"/>
          <w:sz w:val="28"/>
          <w:szCs w:val="28"/>
          <w:lang w:val="en-US"/>
        </w:rPr>
        <w:t xml:space="preserve">email </w:t>
      </w:r>
      <w:r w:rsidRPr="007020A5">
        <w:rPr>
          <w:rFonts w:asciiTheme="majorHAnsi" w:hAnsiTheme="majorHAnsi"/>
          <w:sz w:val="28"/>
          <w:szCs w:val="28"/>
        </w:rPr>
        <w:t xml:space="preserve">Стороны </w:t>
      </w:r>
      <w:proofErr w:type="gramStart"/>
      <w:r w:rsidRPr="007020A5">
        <w:rPr>
          <w:rFonts w:asciiTheme="majorHAnsi" w:hAnsiTheme="majorHAnsi"/>
          <w:sz w:val="28"/>
          <w:szCs w:val="28"/>
        </w:rPr>
        <w:t>1  _</w:t>
      </w:r>
      <w:proofErr w:type="gramEnd"/>
      <w:r w:rsidRPr="007020A5">
        <w:rPr>
          <w:rFonts w:asciiTheme="majorHAnsi" w:hAnsiTheme="majorHAnsi"/>
          <w:sz w:val="28"/>
          <w:szCs w:val="28"/>
        </w:rPr>
        <w:t>_________________</w:t>
      </w:r>
    </w:p>
    <w:p w14:paraId="2BD6D320" w14:textId="77777777" w:rsidR="006015F0" w:rsidRPr="007020A5" w:rsidRDefault="006015F0" w:rsidP="007020A5">
      <w:pPr>
        <w:pStyle w:val="aa"/>
        <w:spacing w:after="240" w:line="276" w:lineRule="auto"/>
        <w:ind w:left="1418"/>
        <w:jc w:val="both"/>
        <w:rPr>
          <w:rFonts w:asciiTheme="majorHAnsi" w:hAnsiTheme="majorHAnsi"/>
          <w:sz w:val="28"/>
          <w:szCs w:val="28"/>
        </w:rPr>
      </w:pPr>
      <w:r w:rsidRPr="007020A5">
        <w:rPr>
          <w:rFonts w:asciiTheme="majorHAnsi" w:hAnsiTheme="majorHAnsi"/>
          <w:sz w:val="28"/>
          <w:szCs w:val="28"/>
        </w:rPr>
        <w:t>Стороны несут ответственность за допуск к использованию указанных почтовых ящиков только лиц, имеющих соответствующие полномочия».</w:t>
      </w:r>
    </w:p>
    <w:p w14:paraId="6B6E341C" w14:textId="52D87607" w:rsidR="006015F0" w:rsidRPr="007020A5" w:rsidRDefault="006015F0" w:rsidP="007020A5">
      <w:pPr>
        <w:pStyle w:val="aa"/>
        <w:numPr>
          <w:ilvl w:val="1"/>
          <w:numId w:val="4"/>
        </w:numPr>
        <w:spacing w:after="240" w:line="276" w:lineRule="auto"/>
        <w:ind w:left="1418" w:hanging="578"/>
        <w:jc w:val="both"/>
        <w:rPr>
          <w:rFonts w:asciiTheme="majorHAnsi" w:hAnsiTheme="majorHAnsi"/>
          <w:sz w:val="28"/>
          <w:szCs w:val="28"/>
        </w:rPr>
      </w:pPr>
      <w:r w:rsidRPr="007020A5">
        <w:rPr>
          <w:rFonts w:asciiTheme="majorHAnsi" w:hAnsiTheme="majorHAnsi"/>
          <w:sz w:val="28"/>
          <w:szCs w:val="28"/>
        </w:rPr>
        <w:t>Выдавать и принимать электронные документы, в том числе материальные доверенности и доверенности на распоряжение товаром, подписанные электронно-цифровой подписью (ЭЦП). Отказаться от требования предоставления таможенных деклараций и иных документов на бумажных носителях;</w:t>
      </w:r>
    </w:p>
    <w:p w14:paraId="7DD20CEE" w14:textId="77777777" w:rsidR="006015F0" w:rsidRPr="007020A5" w:rsidRDefault="006015F0" w:rsidP="007020A5">
      <w:pPr>
        <w:pStyle w:val="aa"/>
        <w:numPr>
          <w:ilvl w:val="1"/>
          <w:numId w:val="4"/>
        </w:numPr>
        <w:spacing w:after="240" w:line="276" w:lineRule="auto"/>
        <w:ind w:left="1418" w:hanging="578"/>
        <w:jc w:val="both"/>
        <w:rPr>
          <w:rFonts w:asciiTheme="majorHAnsi" w:hAnsiTheme="majorHAnsi"/>
          <w:sz w:val="28"/>
          <w:szCs w:val="28"/>
        </w:rPr>
      </w:pPr>
      <w:r w:rsidRPr="007020A5">
        <w:rPr>
          <w:rFonts w:asciiTheme="majorHAnsi" w:hAnsiTheme="majorHAnsi"/>
          <w:sz w:val="28"/>
          <w:szCs w:val="28"/>
        </w:rPr>
        <w:t>Соблюдать, надлежаще в период пандемии COVID-19, санитарно-гигиенические правила по обработке и содержанию помещений, а также меры личной гигиены и безопасности, такие как применение средств индивидуальной защиты, соблюдение социальной дистанции (1,5 – 2 метра), дезинфекция поверхностей соприкосновения с документами и товаром и т.п.;</w:t>
      </w:r>
    </w:p>
    <w:p w14:paraId="7E4702EA" w14:textId="77777777" w:rsidR="006015F0" w:rsidRPr="007020A5" w:rsidRDefault="006015F0" w:rsidP="007020A5">
      <w:pPr>
        <w:pStyle w:val="aa"/>
        <w:numPr>
          <w:ilvl w:val="1"/>
          <w:numId w:val="4"/>
        </w:numPr>
        <w:spacing w:after="240" w:line="276" w:lineRule="auto"/>
        <w:ind w:left="1418" w:hanging="578"/>
        <w:jc w:val="both"/>
        <w:rPr>
          <w:rFonts w:asciiTheme="majorHAnsi" w:hAnsiTheme="majorHAnsi"/>
          <w:sz w:val="28"/>
          <w:szCs w:val="28"/>
        </w:rPr>
      </w:pPr>
      <w:r w:rsidRPr="007020A5">
        <w:rPr>
          <w:rFonts w:asciiTheme="majorHAnsi" w:hAnsiTheme="majorHAnsi"/>
          <w:sz w:val="28"/>
          <w:szCs w:val="28"/>
        </w:rPr>
        <w:t>Периодически (не реже одного раза в неделю) проводить инструктаж персонала по правилам поведения и соблюдения санитарно-гигиенических предписаний в период пандемии COVID-19;</w:t>
      </w:r>
    </w:p>
    <w:p w14:paraId="0547BFFA" w14:textId="77777777" w:rsidR="006015F0" w:rsidRPr="007020A5" w:rsidRDefault="006015F0" w:rsidP="007020A5">
      <w:pPr>
        <w:pStyle w:val="aa"/>
        <w:numPr>
          <w:ilvl w:val="1"/>
          <w:numId w:val="4"/>
        </w:numPr>
        <w:spacing w:after="240" w:line="276" w:lineRule="auto"/>
        <w:ind w:left="1418" w:hanging="578"/>
        <w:jc w:val="both"/>
        <w:rPr>
          <w:rFonts w:asciiTheme="majorHAnsi" w:hAnsiTheme="majorHAnsi"/>
          <w:sz w:val="28"/>
          <w:szCs w:val="28"/>
        </w:rPr>
      </w:pPr>
      <w:r w:rsidRPr="007020A5">
        <w:rPr>
          <w:rFonts w:asciiTheme="majorHAnsi" w:hAnsiTheme="majorHAnsi"/>
          <w:sz w:val="28"/>
          <w:szCs w:val="28"/>
        </w:rPr>
        <w:lastRenderedPageBreak/>
        <w:t>Обеспечивать весь персонал всеми необходимыми средствами защиты и гигиены (маски, антисептики и т.д.);</w:t>
      </w:r>
    </w:p>
    <w:p w14:paraId="2C9C7BC4" w14:textId="77777777" w:rsidR="006015F0" w:rsidRPr="007020A5" w:rsidRDefault="006015F0" w:rsidP="007020A5">
      <w:pPr>
        <w:pStyle w:val="aa"/>
        <w:numPr>
          <w:ilvl w:val="1"/>
          <w:numId w:val="4"/>
        </w:numPr>
        <w:spacing w:after="240" w:line="276" w:lineRule="auto"/>
        <w:ind w:left="1418" w:hanging="578"/>
        <w:jc w:val="both"/>
        <w:rPr>
          <w:rFonts w:asciiTheme="majorHAnsi" w:hAnsiTheme="majorHAnsi"/>
          <w:sz w:val="28"/>
          <w:szCs w:val="28"/>
        </w:rPr>
      </w:pPr>
      <w:r w:rsidRPr="007020A5">
        <w:rPr>
          <w:rFonts w:asciiTheme="majorHAnsi" w:hAnsiTheme="majorHAnsi"/>
          <w:sz w:val="28"/>
          <w:szCs w:val="28"/>
        </w:rPr>
        <w:t>Разделять персонал (с целью минимизации контактов между физическими лицами) на две категории (стремясь весь персонал иметь в категории “a”):</w:t>
      </w:r>
    </w:p>
    <w:p w14:paraId="0A44CC8C" w14:textId="77777777" w:rsidR="006015F0" w:rsidRPr="007020A5" w:rsidRDefault="006015F0" w:rsidP="007020A5">
      <w:pPr>
        <w:pStyle w:val="aa"/>
        <w:spacing w:after="240" w:line="276" w:lineRule="auto"/>
        <w:ind w:left="1418"/>
        <w:jc w:val="both"/>
        <w:rPr>
          <w:rFonts w:asciiTheme="majorHAnsi" w:hAnsiTheme="majorHAnsi"/>
          <w:sz w:val="28"/>
          <w:szCs w:val="28"/>
        </w:rPr>
      </w:pPr>
      <w:r w:rsidRPr="007020A5">
        <w:rPr>
          <w:rFonts w:asciiTheme="majorHAnsi" w:hAnsiTheme="majorHAnsi"/>
          <w:sz w:val="28"/>
          <w:szCs w:val="28"/>
        </w:rPr>
        <w:t>а) персонал на удаленной работе (дом или офис, не посещаемый иными лицами (в том числе – персоналом категории “б”));</w:t>
      </w:r>
    </w:p>
    <w:p w14:paraId="0C67CF22" w14:textId="6D068A3F" w:rsidR="006015F0" w:rsidRPr="007020A5" w:rsidRDefault="006015F0" w:rsidP="007020A5">
      <w:pPr>
        <w:pStyle w:val="aa"/>
        <w:spacing w:after="240" w:line="276" w:lineRule="auto"/>
        <w:ind w:left="1418"/>
        <w:jc w:val="both"/>
        <w:rPr>
          <w:rFonts w:asciiTheme="majorHAnsi" w:hAnsiTheme="majorHAnsi"/>
          <w:sz w:val="28"/>
          <w:szCs w:val="28"/>
        </w:rPr>
      </w:pPr>
      <w:r w:rsidRPr="007020A5">
        <w:rPr>
          <w:rFonts w:asciiTheme="majorHAnsi" w:hAnsiTheme="majorHAnsi"/>
          <w:sz w:val="28"/>
          <w:szCs w:val="28"/>
        </w:rPr>
        <w:t>б) персонал на выездной работе;</w:t>
      </w:r>
    </w:p>
    <w:p w14:paraId="2EF28B4C" w14:textId="77777777" w:rsidR="007020A5" w:rsidRPr="007020A5" w:rsidRDefault="007020A5" w:rsidP="007020A5">
      <w:pPr>
        <w:pStyle w:val="aa"/>
        <w:spacing w:after="240" w:line="276" w:lineRule="auto"/>
        <w:ind w:left="1418"/>
        <w:jc w:val="both"/>
        <w:rPr>
          <w:rFonts w:asciiTheme="majorHAnsi" w:hAnsiTheme="majorHAnsi"/>
          <w:sz w:val="28"/>
          <w:szCs w:val="28"/>
        </w:rPr>
      </w:pPr>
    </w:p>
    <w:p w14:paraId="05820EA4" w14:textId="77777777" w:rsidR="006015F0" w:rsidRPr="007020A5" w:rsidRDefault="006015F0" w:rsidP="007020A5">
      <w:pPr>
        <w:spacing w:after="240" w:line="276" w:lineRule="auto"/>
        <w:ind w:left="1418"/>
        <w:jc w:val="both"/>
        <w:rPr>
          <w:rFonts w:asciiTheme="majorHAnsi" w:hAnsiTheme="majorHAnsi"/>
          <w:b/>
          <w:bCs/>
          <w:sz w:val="28"/>
          <w:szCs w:val="28"/>
          <w:lang w:val="ru-RU"/>
        </w:rPr>
      </w:pPr>
      <w:r w:rsidRPr="007020A5">
        <w:rPr>
          <w:rFonts w:asciiTheme="majorHAnsi" w:hAnsiTheme="majorHAnsi"/>
          <w:b/>
          <w:bCs/>
          <w:i/>
          <w:iCs/>
          <w:sz w:val="28"/>
          <w:szCs w:val="28"/>
          <w:lang w:val="ru-RU"/>
        </w:rPr>
        <w:t>Таможенным складам, таможенным брокерам, перевозчикам и экспедиторам</w:t>
      </w:r>
      <w:r w:rsidRPr="007020A5">
        <w:rPr>
          <w:rFonts w:asciiTheme="majorHAnsi" w:hAnsiTheme="majorHAnsi"/>
          <w:sz w:val="28"/>
          <w:szCs w:val="28"/>
          <w:lang w:val="ru-RU"/>
        </w:rPr>
        <w:t xml:space="preserve"> </w:t>
      </w:r>
      <w:r w:rsidRPr="007020A5">
        <w:rPr>
          <w:rFonts w:asciiTheme="majorHAnsi" w:hAnsiTheme="majorHAnsi"/>
          <w:b/>
          <w:bCs/>
          <w:i/>
          <w:iCs/>
          <w:sz w:val="28"/>
          <w:szCs w:val="28"/>
          <w:lang w:val="ru-RU"/>
        </w:rPr>
        <w:t>рекомендуется</w:t>
      </w:r>
      <w:r w:rsidRPr="007020A5">
        <w:rPr>
          <w:rFonts w:asciiTheme="majorHAnsi" w:hAnsiTheme="majorHAnsi"/>
          <w:sz w:val="28"/>
          <w:szCs w:val="28"/>
          <w:lang w:val="ru-RU"/>
        </w:rPr>
        <w:t xml:space="preserve"> </w:t>
      </w:r>
    </w:p>
    <w:p w14:paraId="69786166" w14:textId="0EE17BE0" w:rsidR="006015F0" w:rsidRPr="007020A5" w:rsidRDefault="006015F0" w:rsidP="007020A5">
      <w:pPr>
        <w:pStyle w:val="aa"/>
        <w:numPr>
          <w:ilvl w:val="1"/>
          <w:numId w:val="4"/>
        </w:numPr>
        <w:spacing w:after="240" w:line="276" w:lineRule="auto"/>
        <w:ind w:left="1418" w:hanging="578"/>
        <w:contextualSpacing w:val="0"/>
        <w:jc w:val="both"/>
        <w:rPr>
          <w:rFonts w:asciiTheme="majorHAnsi" w:hAnsiTheme="majorHAnsi"/>
          <w:b/>
          <w:bCs/>
          <w:sz w:val="28"/>
          <w:szCs w:val="28"/>
        </w:rPr>
      </w:pPr>
      <w:r w:rsidRPr="007020A5">
        <w:rPr>
          <w:rFonts w:asciiTheme="majorHAnsi" w:hAnsiTheme="majorHAnsi"/>
          <w:sz w:val="28"/>
          <w:szCs w:val="28"/>
        </w:rPr>
        <w:t>Развивать спектр предоставляемых услуг, в том числе путем внедрения аутсорсинговых услуг по представлению товара грузополучателя/грузоотправителя перед таможенными органами в процессе помещения товаров на таможенный склад, проведения таможенного досмотра и т.п.;</w:t>
      </w:r>
    </w:p>
    <w:p w14:paraId="7B59EC48" w14:textId="77777777" w:rsidR="007020A5" w:rsidRPr="007020A5" w:rsidRDefault="007020A5" w:rsidP="007020A5">
      <w:pPr>
        <w:pStyle w:val="aa"/>
        <w:spacing w:after="240" w:line="276" w:lineRule="auto"/>
        <w:ind w:left="1418"/>
        <w:contextualSpacing w:val="0"/>
        <w:jc w:val="both"/>
        <w:rPr>
          <w:rFonts w:asciiTheme="majorHAnsi" w:hAnsiTheme="majorHAnsi"/>
          <w:b/>
          <w:bCs/>
          <w:sz w:val="28"/>
          <w:szCs w:val="28"/>
        </w:rPr>
      </w:pPr>
    </w:p>
    <w:p w14:paraId="4A3D6C42" w14:textId="43CA70EE" w:rsidR="006015F0" w:rsidRPr="007020A5" w:rsidRDefault="006015F0" w:rsidP="007020A5">
      <w:pPr>
        <w:pStyle w:val="aa"/>
        <w:numPr>
          <w:ilvl w:val="0"/>
          <w:numId w:val="3"/>
        </w:numPr>
        <w:spacing w:after="240" w:line="276" w:lineRule="auto"/>
        <w:ind w:left="1418"/>
        <w:rPr>
          <w:rFonts w:asciiTheme="majorHAnsi" w:hAnsiTheme="majorHAnsi"/>
          <w:b/>
          <w:bCs/>
          <w:sz w:val="28"/>
          <w:szCs w:val="28"/>
        </w:rPr>
      </w:pPr>
      <w:r w:rsidRPr="007020A5">
        <w:rPr>
          <w:rFonts w:asciiTheme="majorHAnsi" w:hAnsiTheme="majorHAnsi"/>
          <w:b/>
          <w:bCs/>
          <w:sz w:val="28"/>
          <w:szCs w:val="28"/>
        </w:rPr>
        <w:t>МЕРЫ, ПРЕДПРИНИМАЕМЫЕ СО СТОРОНЫ ГОСУДАРСТВЕННЫХ ОРГАНОВ</w:t>
      </w:r>
    </w:p>
    <w:p w14:paraId="485B2E28" w14:textId="77777777" w:rsidR="007020A5" w:rsidRPr="007020A5" w:rsidRDefault="007020A5" w:rsidP="007020A5">
      <w:pPr>
        <w:pStyle w:val="aa"/>
        <w:spacing w:after="240" w:line="276" w:lineRule="auto"/>
        <w:ind w:left="1418"/>
        <w:rPr>
          <w:rFonts w:asciiTheme="majorHAnsi" w:hAnsiTheme="majorHAnsi"/>
          <w:b/>
          <w:bCs/>
          <w:sz w:val="28"/>
          <w:szCs w:val="28"/>
        </w:rPr>
      </w:pPr>
    </w:p>
    <w:p w14:paraId="316EF087" w14:textId="1DCB0F42" w:rsidR="006015F0" w:rsidRPr="007020A5" w:rsidRDefault="00833BAC" w:rsidP="007020A5">
      <w:pPr>
        <w:spacing w:after="240" w:line="276" w:lineRule="auto"/>
        <w:ind w:left="1418"/>
        <w:jc w:val="both"/>
        <w:rPr>
          <w:rFonts w:asciiTheme="majorHAnsi" w:hAnsiTheme="majorHAnsi"/>
          <w:b/>
          <w:i/>
          <w:sz w:val="28"/>
          <w:szCs w:val="28"/>
          <w:lang w:val="ru-RU"/>
        </w:rPr>
      </w:pPr>
      <w:r w:rsidRPr="007020A5">
        <w:rPr>
          <w:rFonts w:asciiTheme="majorHAnsi" w:hAnsiTheme="majorHAnsi"/>
          <w:b/>
          <w:i/>
          <w:sz w:val="28"/>
          <w:szCs w:val="28"/>
          <w:lang w:val="ru-RU"/>
        </w:rPr>
        <w:t>В части работы системы управления рисками (СУР) или иных методов, применяемых с целью выбора форм таможенного контроля:</w:t>
      </w:r>
      <w:r w:rsidR="006015F0" w:rsidRPr="007020A5">
        <w:rPr>
          <w:rFonts w:asciiTheme="majorHAnsi" w:hAnsiTheme="majorHAnsi"/>
          <w:b/>
          <w:i/>
          <w:sz w:val="28"/>
          <w:szCs w:val="28"/>
          <w:lang w:val="ru-RU"/>
        </w:rPr>
        <w:t xml:space="preserve"> </w:t>
      </w:r>
    </w:p>
    <w:p w14:paraId="70F87364" w14:textId="77777777" w:rsidR="00D50F57" w:rsidRPr="007020A5" w:rsidRDefault="00D50F57" w:rsidP="007020A5">
      <w:pPr>
        <w:pStyle w:val="aa"/>
        <w:numPr>
          <w:ilvl w:val="1"/>
          <w:numId w:val="6"/>
        </w:numPr>
        <w:spacing w:after="240" w:line="276" w:lineRule="auto"/>
        <w:ind w:left="1418"/>
        <w:jc w:val="both"/>
        <w:rPr>
          <w:rFonts w:asciiTheme="majorHAnsi" w:hAnsiTheme="majorHAnsi"/>
          <w:sz w:val="28"/>
          <w:szCs w:val="28"/>
        </w:rPr>
      </w:pPr>
      <w:r w:rsidRPr="007020A5">
        <w:rPr>
          <w:rFonts w:asciiTheme="majorHAnsi" w:hAnsiTheme="majorHAnsi"/>
          <w:sz w:val="28"/>
          <w:szCs w:val="28"/>
        </w:rPr>
        <w:t>В период ограничений, связанных с пандемией:</w:t>
      </w:r>
    </w:p>
    <w:p w14:paraId="080E28A3" w14:textId="2755AB5E" w:rsidR="006015F0" w:rsidRPr="007020A5" w:rsidRDefault="00D50F57" w:rsidP="007020A5">
      <w:pPr>
        <w:pStyle w:val="aa"/>
        <w:spacing w:after="240" w:line="276" w:lineRule="auto"/>
        <w:ind w:left="1418"/>
        <w:jc w:val="both"/>
        <w:rPr>
          <w:rFonts w:asciiTheme="majorHAnsi" w:hAnsiTheme="majorHAnsi"/>
          <w:sz w:val="28"/>
          <w:szCs w:val="28"/>
        </w:rPr>
      </w:pPr>
      <w:r w:rsidRPr="007020A5">
        <w:rPr>
          <w:rFonts w:asciiTheme="majorHAnsi" w:hAnsiTheme="majorHAnsi"/>
          <w:sz w:val="28"/>
          <w:szCs w:val="28"/>
        </w:rPr>
        <w:t>И</w:t>
      </w:r>
      <w:r w:rsidR="006015F0" w:rsidRPr="007020A5">
        <w:rPr>
          <w:rFonts w:asciiTheme="majorHAnsi" w:hAnsiTheme="majorHAnsi"/>
          <w:sz w:val="28"/>
          <w:szCs w:val="28"/>
        </w:rPr>
        <w:t xml:space="preserve">зменить работу СУР таким образом, чтобы в красный коридор попадали крайние случаи высоких рисков. В части остальных товаров, которые в обычное время попадали бы в красный коридор – предусмотреть обязательный контроль после выпуска товара по окончании карантина </w:t>
      </w:r>
      <w:r w:rsidR="006015F0" w:rsidRPr="007020A5">
        <w:rPr>
          <w:rFonts w:asciiTheme="majorHAnsi" w:hAnsiTheme="majorHAnsi"/>
          <w:i/>
          <w:sz w:val="28"/>
          <w:szCs w:val="28"/>
        </w:rPr>
        <w:t>(синий коридор)</w:t>
      </w:r>
      <w:r w:rsidR="006015F0" w:rsidRPr="007020A5">
        <w:rPr>
          <w:rFonts w:asciiTheme="majorHAnsi" w:hAnsiTheme="majorHAnsi"/>
          <w:sz w:val="28"/>
          <w:szCs w:val="28"/>
        </w:rPr>
        <w:t>.</w:t>
      </w:r>
    </w:p>
    <w:p w14:paraId="17DD3324" w14:textId="77777777" w:rsidR="00A83D4C" w:rsidRPr="007020A5" w:rsidRDefault="00A83D4C" w:rsidP="007020A5">
      <w:pPr>
        <w:pStyle w:val="aa"/>
        <w:spacing w:after="240" w:line="276" w:lineRule="auto"/>
        <w:ind w:left="1416"/>
        <w:jc w:val="both"/>
        <w:rPr>
          <w:rFonts w:asciiTheme="majorHAnsi" w:hAnsiTheme="majorHAnsi"/>
          <w:sz w:val="28"/>
          <w:szCs w:val="28"/>
        </w:rPr>
      </w:pPr>
      <w:r w:rsidRPr="007020A5">
        <w:rPr>
          <w:rFonts w:asciiTheme="majorHAnsi" w:hAnsiTheme="majorHAnsi"/>
          <w:sz w:val="28"/>
          <w:szCs w:val="28"/>
        </w:rPr>
        <w:lastRenderedPageBreak/>
        <w:t>При отсутствии СУР – разработать и поддерживать методы анализа объектов и субъектов внешнеторговых операций с целью выбора форм таможенного контроля, к примеру - минимизировать применение физического досмотра товаров:</w:t>
      </w:r>
    </w:p>
    <w:p w14:paraId="1BFFAE2B" w14:textId="77777777" w:rsidR="00A83D4C" w:rsidRPr="007020A5" w:rsidRDefault="00A83D4C" w:rsidP="007020A5">
      <w:pPr>
        <w:pStyle w:val="aa"/>
        <w:numPr>
          <w:ilvl w:val="0"/>
          <w:numId w:val="8"/>
        </w:numPr>
        <w:spacing w:after="240" w:line="276" w:lineRule="auto"/>
        <w:ind w:left="2196"/>
        <w:jc w:val="both"/>
        <w:rPr>
          <w:rFonts w:asciiTheme="majorHAnsi" w:hAnsiTheme="majorHAnsi"/>
          <w:sz w:val="28"/>
          <w:szCs w:val="28"/>
        </w:rPr>
      </w:pPr>
      <w:r w:rsidRPr="007020A5">
        <w:rPr>
          <w:rFonts w:asciiTheme="majorHAnsi" w:hAnsiTheme="majorHAnsi"/>
          <w:sz w:val="28"/>
          <w:szCs w:val="28"/>
        </w:rPr>
        <w:t>декларируемых лицами, регулярно занимающимися внешнеэкономической деятельностью не менее трех лет;</w:t>
      </w:r>
    </w:p>
    <w:p w14:paraId="3AC9630A" w14:textId="77777777" w:rsidR="00A83D4C" w:rsidRPr="007020A5" w:rsidRDefault="00A83D4C" w:rsidP="007020A5">
      <w:pPr>
        <w:pStyle w:val="aa"/>
        <w:numPr>
          <w:ilvl w:val="0"/>
          <w:numId w:val="8"/>
        </w:numPr>
        <w:spacing w:after="240" w:line="276" w:lineRule="auto"/>
        <w:ind w:left="2196"/>
        <w:jc w:val="both"/>
        <w:rPr>
          <w:rFonts w:asciiTheme="majorHAnsi" w:hAnsiTheme="majorHAnsi"/>
          <w:sz w:val="28"/>
          <w:szCs w:val="28"/>
        </w:rPr>
      </w:pPr>
      <w:r w:rsidRPr="007020A5">
        <w:rPr>
          <w:rFonts w:asciiTheme="majorHAnsi" w:hAnsiTheme="majorHAnsi"/>
          <w:sz w:val="28"/>
          <w:szCs w:val="28"/>
        </w:rPr>
        <w:t>при регулярном перемещении которых не выявлялись нарушения таможенного законодательства;</w:t>
      </w:r>
    </w:p>
    <w:p w14:paraId="091EF468" w14:textId="2B43C1FE" w:rsidR="00833BAC" w:rsidRPr="007020A5" w:rsidRDefault="00A83D4C" w:rsidP="007020A5">
      <w:pPr>
        <w:pStyle w:val="aa"/>
        <w:numPr>
          <w:ilvl w:val="0"/>
          <w:numId w:val="8"/>
        </w:numPr>
        <w:spacing w:after="240" w:line="276" w:lineRule="auto"/>
        <w:ind w:left="2196"/>
        <w:jc w:val="both"/>
        <w:rPr>
          <w:rFonts w:asciiTheme="majorHAnsi" w:hAnsiTheme="majorHAnsi"/>
          <w:sz w:val="28"/>
          <w:szCs w:val="28"/>
        </w:rPr>
      </w:pPr>
      <w:proofErr w:type="spellStart"/>
      <w:r w:rsidRPr="007020A5">
        <w:rPr>
          <w:rFonts w:asciiTheme="majorHAnsi" w:hAnsiTheme="majorHAnsi"/>
          <w:sz w:val="28"/>
          <w:szCs w:val="28"/>
        </w:rPr>
        <w:t>и.д</w:t>
      </w:r>
      <w:proofErr w:type="spellEnd"/>
      <w:r w:rsidRPr="007020A5">
        <w:rPr>
          <w:rFonts w:asciiTheme="majorHAnsi" w:hAnsiTheme="majorHAnsi"/>
          <w:sz w:val="28"/>
          <w:szCs w:val="28"/>
        </w:rPr>
        <w:t>.;</w:t>
      </w:r>
    </w:p>
    <w:p w14:paraId="2239B488" w14:textId="6D06E498" w:rsidR="006015F0" w:rsidRPr="007020A5" w:rsidRDefault="006015F0" w:rsidP="007020A5">
      <w:pPr>
        <w:pStyle w:val="aa"/>
        <w:numPr>
          <w:ilvl w:val="1"/>
          <w:numId w:val="6"/>
        </w:numPr>
        <w:spacing w:after="240" w:line="276" w:lineRule="auto"/>
        <w:ind w:left="1418"/>
        <w:jc w:val="both"/>
        <w:rPr>
          <w:rFonts w:asciiTheme="majorHAnsi" w:hAnsiTheme="majorHAnsi"/>
          <w:sz w:val="28"/>
          <w:szCs w:val="28"/>
        </w:rPr>
      </w:pPr>
      <w:r w:rsidRPr="007020A5">
        <w:rPr>
          <w:rFonts w:asciiTheme="majorHAnsi" w:hAnsiTheme="majorHAnsi"/>
          <w:sz w:val="28"/>
          <w:szCs w:val="28"/>
        </w:rPr>
        <w:t xml:space="preserve">Допускать выгрузку на таможенный склад (как после, так и до подачи </w:t>
      </w:r>
      <w:r w:rsidR="008A67E2" w:rsidRPr="007020A5">
        <w:rPr>
          <w:rFonts w:asciiTheme="majorHAnsi" w:hAnsiTheme="majorHAnsi"/>
          <w:sz w:val="28"/>
          <w:szCs w:val="28"/>
        </w:rPr>
        <w:t>таможенной декларации</w:t>
      </w:r>
      <w:r w:rsidRPr="007020A5">
        <w:rPr>
          <w:rFonts w:asciiTheme="majorHAnsi" w:hAnsiTheme="majorHAnsi"/>
          <w:sz w:val="28"/>
          <w:szCs w:val="28"/>
        </w:rPr>
        <w:t>) без задержек, независимо от коридора СУР, в том числе в отсутствии сотрудника таможенного органа, с последующим назначением таможенного досмотра</w:t>
      </w:r>
      <w:r w:rsidR="009B2311" w:rsidRPr="007020A5">
        <w:rPr>
          <w:rFonts w:asciiTheme="majorHAnsi" w:hAnsiTheme="majorHAnsi"/>
          <w:sz w:val="28"/>
          <w:szCs w:val="28"/>
        </w:rPr>
        <w:t>, при условии обеспечения непрерывной видеосъемки (наблюдения)</w:t>
      </w:r>
      <w:r w:rsidRPr="007020A5">
        <w:rPr>
          <w:rFonts w:asciiTheme="majorHAnsi" w:hAnsiTheme="majorHAnsi"/>
          <w:sz w:val="28"/>
          <w:szCs w:val="28"/>
        </w:rPr>
        <w:t>. При этом, в случае неявки на досмотр уполномоченного лица в назначенное время, досмотр проводится в присутствии сотрудника таможенного склада, с обеспечением непрерывной видеосъемки (наблюдения)</w:t>
      </w:r>
      <w:r w:rsidR="009B2311" w:rsidRPr="007020A5">
        <w:rPr>
          <w:rFonts w:asciiTheme="majorHAnsi" w:hAnsiTheme="majorHAnsi"/>
          <w:sz w:val="28"/>
          <w:szCs w:val="28"/>
        </w:rPr>
        <w:t>, а</w:t>
      </w:r>
      <w:r w:rsidRPr="007020A5">
        <w:rPr>
          <w:rFonts w:asciiTheme="majorHAnsi" w:hAnsiTheme="majorHAnsi"/>
          <w:sz w:val="28"/>
          <w:szCs w:val="28"/>
        </w:rPr>
        <w:t xml:space="preserve"> уполномоченное лицо обязано согласится с выводами таможенного органа о результатах досмотра. В конфликтных случаях таможенный орган обязан допустить уполномоченное лицо к ознакомлению с видеозаписью процесса досмотра;</w:t>
      </w:r>
    </w:p>
    <w:p w14:paraId="45BF4397" w14:textId="77777777" w:rsidR="00A83D4C" w:rsidRPr="007020A5" w:rsidRDefault="006015F0" w:rsidP="007020A5">
      <w:pPr>
        <w:pStyle w:val="aa"/>
        <w:numPr>
          <w:ilvl w:val="1"/>
          <w:numId w:val="6"/>
        </w:numPr>
        <w:spacing w:after="240" w:line="276" w:lineRule="auto"/>
        <w:ind w:left="1418"/>
        <w:contextualSpacing w:val="0"/>
        <w:jc w:val="both"/>
        <w:rPr>
          <w:rFonts w:asciiTheme="majorHAnsi" w:hAnsiTheme="majorHAnsi"/>
          <w:sz w:val="28"/>
          <w:szCs w:val="28"/>
        </w:rPr>
      </w:pPr>
      <w:r w:rsidRPr="007020A5">
        <w:rPr>
          <w:rFonts w:asciiTheme="majorHAnsi" w:hAnsiTheme="majorHAnsi"/>
          <w:sz w:val="28"/>
          <w:szCs w:val="28"/>
        </w:rPr>
        <w:t>Конкретизировать команды СУР по досмотру отдельных грузовых мест (при отсутствии необходимости проверки всей партии товара), во избежание излишней траты времени на досмотр всей партии. Адаптировать работу ИС таможенного органа под такие требования</w:t>
      </w:r>
      <w:r w:rsidR="00A83D4C" w:rsidRPr="007020A5">
        <w:rPr>
          <w:rFonts w:asciiTheme="majorHAnsi" w:hAnsiTheme="majorHAnsi"/>
          <w:sz w:val="28"/>
          <w:szCs w:val="28"/>
        </w:rPr>
        <w:t>.</w:t>
      </w:r>
    </w:p>
    <w:p w14:paraId="1ACF8B8B" w14:textId="0C4103FD" w:rsidR="006015F0" w:rsidRPr="007020A5" w:rsidRDefault="00A83D4C" w:rsidP="007020A5">
      <w:pPr>
        <w:pStyle w:val="aa"/>
        <w:spacing w:after="240" w:line="276" w:lineRule="auto"/>
        <w:ind w:left="1418"/>
        <w:contextualSpacing w:val="0"/>
        <w:jc w:val="both"/>
        <w:rPr>
          <w:rFonts w:asciiTheme="majorHAnsi" w:hAnsiTheme="majorHAnsi"/>
          <w:sz w:val="28"/>
          <w:szCs w:val="28"/>
        </w:rPr>
      </w:pPr>
      <w:r w:rsidRPr="007020A5">
        <w:rPr>
          <w:rFonts w:asciiTheme="majorHAnsi" w:hAnsiTheme="majorHAnsi"/>
          <w:sz w:val="28"/>
          <w:szCs w:val="28"/>
        </w:rPr>
        <w:t>При отсутствии СУР – разработать и поддерживать правила, позволяющие оптимизировать затраты времени при осуществлении таможенного досмотра: проводить досмотр части грузовых мест с распространением результатов досмотра на всю партию товара и т.д.</w:t>
      </w:r>
      <w:r w:rsidR="006015F0" w:rsidRPr="007020A5">
        <w:rPr>
          <w:rFonts w:asciiTheme="majorHAnsi" w:hAnsiTheme="majorHAnsi"/>
          <w:sz w:val="28"/>
          <w:szCs w:val="28"/>
        </w:rPr>
        <w:t>;</w:t>
      </w:r>
    </w:p>
    <w:p w14:paraId="3542B3CA" w14:textId="77777777" w:rsidR="00A83D4C" w:rsidRPr="007020A5" w:rsidRDefault="00A83D4C" w:rsidP="007020A5">
      <w:pPr>
        <w:pStyle w:val="aa"/>
        <w:spacing w:after="240" w:line="276" w:lineRule="auto"/>
        <w:ind w:left="1418"/>
        <w:contextualSpacing w:val="0"/>
        <w:jc w:val="both"/>
        <w:rPr>
          <w:rFonts w:asciiTheme="majorHAnsi" w:hAnsiTheme="majorHAnsi"/>
          <w:sz w:val="28"/>
          <w:szCs w:val="28"/>
        </w:rPr>
      </w:pPr>
    </w:p>
    <w:p w14:paraId="553B1377" w14:textId="77777777" w:rsidR="007020A5" w:rsidRDefault="007020A5" w:rsidP="007020A5">
      <w:pPr>
        <w:spacing w:after="240" w:line="276" w:lineRule="auto"/>
        <w:ind w:left="1418"/>
        <w:jc w:val="both"/>
        <w:rPr>
          <w:rFonts w:asciiTheme="majorHAnsi" w:hAnsiTheme="majorHAnsi"/>
          <w:b/>
          <w:i/>
          <w:sz w:val="28"/>
          <w:szCs w:val="28"/>
          <w:lang w:val="ru-RU"/>
        </w:rPr>
      </w:pPr>
    </w:p>
    <w:p w14:paraId="37225306" w14:textId="77777777" w:rsidR="007020A5" w:rsidRDefault="007020A5" w:rsidP="007020A5">
      <w:pPr>
        <w:spacing w:after="240" w:line="276" w:lineRule="auto"/>
        <w:ind w:left="1418"/>
        <w:jc w:val="both"/>
        <w:rPr>
          <w:rFonts w:asciiTheme="majorHAnsi" w:hAnsiTheme="majorHAnsi"/>
          <w:b/>
          <w:i/>
          <w:sz w:val="28"/>
          <w:szCs w:val="28"/>
          <w:lang w:val="ru-RU"/>
        </w:rPr>
      </w:pPr>
    </w:p>
    <w:p w14:paraId="27290793" w14:textId="56668C54" w:rsidR="006015F0" w:rsidRPr="007020A5" w:rsidRDefault="006015F0" w:rsidP="007020A5">
      <w:pPr>
        <w:spacing w:after="240" w:line="276" w:lineRule="auto"/>
        <w:ind w:left="1418"/>
        <w:jc w:val="both"/>
        <w:rPr>
          <w:rFonts w:asciiTheme="majorHAnsi" w:hAnsiTheme="majorHAnsi"/>
          <w:b/>
          <w:i/>
          <w:sz w:val="28"/>
          <w:szCs w:val="28"/>
          <w:lang w:val="ru-RU"/>
        </w:rPr>
      </w:pPr>
      <w:r w:rsidRPr="007020A5">
        <w:rPr>
          <w:rFonts w:asciiTheme="majorHAnsi" w:hAnsiTheme="majorHAnsi"/>
          <w:b/>
          <w:i/>
          <w:sz w:val="28"/>
          <w:szCs w:val="28"/>
          <w:lang w:val="ru-RU"/>
        </w:rPr>
        <w:lastRenderedPageBreak/>
        <w:t>В части взаимодействия сотрудников таможни и участников ВЭД:</w:t>
      </w:r>
    </w:p>
    <w:p w14:paraId="622B2A80" w14:textId="27497ADE" w:rsidR="006015F0" w:rsidRPr="007020A5" w:rsidRDefault="006015F0" w:rsidP="007020A5">
      <w:pPr>
        <w:pStyle w:val="aa"/>
        <w:numPr>
          <w:ilvl w:val="1"/>
          <w:numId w:val="6"/>
        </w:numPr>
        <w:spacing w:after="240" w:line="276" w:lineRule="auto"/>
        <w:ind w:left="1418"/>
        <w:jc w:val="both"/>
        <w:rPr>
          <w:rFonts w:asciiTheme="majorHAnsi" w:hAnsiTheme="majorHAnsi"/>
          <w:sz w:val="28"/>
          <w:szCs w:val="28"/>
        </w:rPr>
      </w:pPr>
      <w:r w:rsidRPr="007020A5">
        <w:rPr>
          <w:rFonts w:asciiTheme="majorHAnsi" w:hAnsiTheme="majorHAnsi"/>
          <w:sz w:val="28"/>
          <w:szCs w:val="28"/>
        </w:rPr>
        <w:t xml:space="preserve">Допускать присутствие на таможенном досмотре одного лица, имеющего доверенность на распоряжение товаром, прием, передачу и проведение досмотра, без  требования присутствия лиц, указанных в графах 50 и 54 </w:t>
      </w:r>
      <w:r w:rsidR="00D50F57" w:rsidRPr="007020A5">
        <w:rPr>
          <w:rFonts w:asciiTheme="majorHAnsi" w:hAnsiTheme="majorHAnsi"/>
          <w:sz w:val="28"/>
          <w:szCs w:val="28"/>
        </w:rPr>
        <w:t>декларации на товары/грузовой таможенной декларации (далее – ГТД)</w:t>
      </w:r>
      <w:r w:rsidRPr="007020A5">
        <w:rPr>
          <w:rFonts w:asciiTheme="majorHAnsi" w:hAnsiTheme="majorHAnsi"/>
          <w:sz w:val="28"/>
          <w:szCs w:val="28"/>
        </w:rPr>
        <w:t xml:space="preserve"> </w:t>
      </w:r>
      <w:r w:rsidRPr="007020A5">
        <w:rPr>
          <w:rFonts w:asciiTheme="majorHAnsi" w:hAnsiTheme="majorHAnsi"/>
          <w:i/>
          <w:sz w:val="28"/>
          <w:szCs w:val="28"/>
        </w:rPr>
        <w:t>(за исключением случаев обнаружения правонарушений и подозрении в причастности к обнаруженным правонарушениям кого-либо из этих лиц. В этом случае указанные лица обязаны прибыть к месту проведения таможенных операций либо к месту дислокации таможенного органа по требованию сотрудника таможенного органа);</w:t>
      </w:r>
    </w:p>
    <w:p w14:paraId="2D0A6829" w14:textId="58BBB0D3" w:rsidR="006015F0" w:rsidRPr="007020A5" w:rsidRDefault="006015F0" w:rsidP="007020A5">
      <w:pPr>
        <w:pStyle w:val="aa"/>
        <w:numPr>
          <w:ilvl w:val="1"/>
          <w:numId w:val="6"/>
        </w:numPr>
        <w:spacing w:after="240" w:line="276" w:lineRule="auto"/>
        <w:ind w:left="1418"/>
        <w:jc w:val="both"/>
        <w:rPr>
          <w:rFonts w:asciiTheme="majorHAnsi" w:hAnsiTheme="majorHAnsi"/>
          <w:sz w:val="28"/>
          <w:szCs w:val="28"/>
        </w:rPr>
      </w:pPr>
      <w:r w:rsidRPr="007020A5">
        <w:rPr>
          <w:rFonts w:asciiTheme="majorHAnsi" w:hAnsiTheme="majorHAnsi"/>
          <w:sz w:val="28"/>
          <w:szCs w:val="28"/>
        </w:rPr>
        <w:t>При досмотре (и проведении других таможенных операций) соблюдать меры безопасности, такие как применение средств индивидуальной защиты, соблюдение социальной дистанции (1,5-2 метра), дезинфекция поверхностей соприкосновения с документами и товаром и т.п.</w:t>
      </w:r>
    </w:p>
    <w:p w14:paraId="337B7A07" w14:textId="77777777" w:rsidR="00D50F57" w:rsidRPr="007020A5" w:rsidRDefault="00D50F57" w:rsidP="007020A5">
      <w:pPr>
        <w:pStyle w:val="aa"/>
        <w:spacing w:after="240" w:line="276" w:lineRule="auto"/>
        <w:ind w:left="1418"/>
        <w:jc w:val="both"/>
        <w:rPr>
          <w:rFonts w:asciiTheme="majorHAnsi" w:hAnsiTheme="majorHAnsi"/>
          <w:sz w:val="28"/>
          <w:szCs w:val="28"/>
        </w:rPr>
      </w:pPr>
    </w:p>
    <w:p w14:paraId="034AC9CF" w14:textId="77777777" w:rsidR="006015F0" w:rsidRPr="007020A5" w:rsidRDefault="006015F0" w:rsidP="007020A5">
      <w:pPr>
        <w:spacing w:before="120" w:after="240" w:line="276" w:lineRule="auto"/>
        <w:ind w:left="1418"/>
        <w:jc w:val="both"/>
        <w:rPr>
          <w:rFonts w:asciiTheme="majorHAnsi" w:hAnsiTheme="majorHAnsi"/>
          <w:b/>
          <w:i/>
          <w:sz w:val="28"/>
          <w:szCs w:val="28"/>
          <w:lang w:val="ru-RU"/>
        </w:rPr>
      </w:pPr>
      <w:r w:rsidRPr="007020A5">
        <w:rPr>
          <w:rFonts w:asciiTheme="majorHAnsi" w:hAnsiTheme="majorHAnsi"/>
          <w:b/>
          <w:i/>
          <w:sz w:val="28"/>
          <w:szCs w:val="28"/>
          <w:lang w:val="ru-RU"/>
        </w:rPr>
        <w:t>В части регламента таможенного оформления:</w:t>
      </w:r>
    </w:p>
    <w:p w14:paraId="672CC6AA" w14:textId="77777777" w:rsidR="006015F0" w:rsidRPr="007020A5" w:rsidRDefault="006015F0" w:rsidP="007020A5">
      <w:pPr>
        <w:pStyle w:val="aa"/>
        <w:numPr>
          <w:ilvl w:val="1"/>
          <w:numId w:val="6"/>
        </w:numPr>
        <w:spacing w:after="240" w:line="276" w:lineRule="auto"/>
        <w:ind w:left="1418"/>
        <w:jc w:val="both"/>
        <w:rPr>
          <w:rFonts w:asciiTheme="majorHAnsi" w:hAnsiTheme="majorHAnsi"/>
          <w:i/>
          <w:sz w:val="28"/>
          <w:szCs w:val="28"/>
        </w:rPr>
      </w:pPr>
      <w:r w:rsidRPr="007020A5">
        <w:rPr>
          <w:rFonts w:asciiTheme="majorHAnsi" w:hAnsiTheme="majorHAnsi"/>
          <w:sz w:val="28"/>
          <w:szCs w:val="28"/>
        </w:rPr>
        <w:t xml:space="preserve">В случае необходимости проверки бумажных оригиналов – оформлять ГТД с приемом сканированных копий и назначать по таким ГТД контроль после выпуска товаров по окончании карантина </w:t>
      </w:r>
      <w:r w:rsidRPr="007020A5">
        <w:rPr>
          <w:rFonts w:asciiTheme="majorHAnsi" w:hAnsiTheme="majorHAnsi"/>
          <w:i/>
          <w:sz w:val="28"/>
          <w:szCs w:val="28"/>
        </w:rPr>
        <w:t>(также, как и при синем коридоре);</w:t>
      </w:r>
    </w:p>
    <w:p w14:paraId="61A345D5" w14:textId="77777777" w:rsidR="00D50F57" w:rsidRPr="007020A5" w:rsidRDefault="00D50F57" w:rsidP="007020A5">
      <w:pPr>
        <w:pStyle w:val="aa"/>
        <w:numPr>
          <w:ilvl w:val="1"/>
          <w:numId w:val="6"/>
        </w:numPr>
        <w:spacing w:after="240" w:line="276" w:lineRule="auto"/>
        <w:ind w:left="1418"/>
        <w:jc w:val="both"/>
        <w:rPr>
          <w:rFonts w:asciiTheme="majorHAnsi" w:hAnsiTheme="majorHAnsi"/>
          <w:sz w:val="28"/>
          <w:szCs w:val="28"/>
        </w:rPr>
      </w:pPr>
      <w:r w:rsidRPr="007020A5">
        <w:rPr>
          <w:rFonts w:asciiTheme="majorHAnsi" w:hAnsiTheme="majorHAnsi"/>
          <w:sz w:val="28"/>
          <w:szCs w:val="28"/>
        </w:rPr>
        <w:t>В период ограничений, связанных с пандемией</w:t>
      </w:r>
      <w:r w:rsidRPr="007020A5">
        <w:rPr>
          <w:rFonts w:asciiTheme="majorHAnsi" w:hAnsiTheme="majorHAnsi"/>
          <w:sz w:val="28"/>
          <w:szCs w:val="28"/>
        </w:rPr>
        <w:t>,</w:t>
      </w:r>
    </w:p>
    <w:p w14:paraId="691A1041" w14:textId="610A426D" w:rsidR="00D50F57" w:rsidRPr="007020A5" w:rsidRDefault="00D50F57" w:rsidP="007020A5">
      <w:pPr>
        <w:pStyle w:val="aa"/>
        <w:spacing w:after="240" w:line="276" w:lineRule="auto"/>
        <w:ind w:left="1418"/>
        <w:jc w:val="both"/>
        <w:rPr>
          <w:rFonts w:asciiTheme="majorHAnsi" w:hAnsiTheme="majorHAnsi"/>
          <w:sz w:val="28"/>
          <w:szCs w:val="28"/>
        </w:rPr>
      </w:pPr>
      <w:r w:rsidRPr="007020A5">
        <w:rPr>
          <w:rFonts w:asciiTheme="majorHAnsi" w:hAnsiTheme="majorHAnsi"/>
          <w:sz w:val="28"/>
          <w:szCs w:val="28"/>
        </w:rPr>
        <w:t xml:space="preserve"> п</w:t>
      </w:r>
      <w:r w:rsidR="006015F0" w:rsidRPr="007020A5">
        <w:rPr>
          <w:rFonts w:asciiTheme="majorHAnsi" w:hAnsiTheme="majorHAnsi"/>
          <w:sz w:val="28"/>
          <w:szCs w:val="28"/>
        </w:rPr>
        <w:t>родлевать по заявлению декларанта</w:t>
      </w:r>
      <w:r w:rsidRPr="007020A5">
        <w:rPr>
          <w:rFonts w:asciiTheme="majorHAnsi" w:hAnsiTheme="majorHAnsi"/>
          <w:sz w:val="28"/>
          <w:szCs w:val="28"/>
        </w:rPr>
        <w:t>:</w:t>
      </w:r>
    </w:p>
    <w:p w14:paraId="7612EC96" w14:textId="77777777" w:rsidR="006015F0" w:rsidRPr="007020A5" w:rsidRDefault="006015F0" w:rsidP="007020A5">
      <w:pPr>
        <w:pStyle w:val="aa"/>
        <w:numPr>
          <w:ilvl w:val="0"/>
          <w:numId w:val="7"/>
        </w:numPr>
        <w:spacing w:after="240" w:line="276" w:lineRule="auto"/>
        <w:ind w:left="1418"/>
        <w:jc w:val="both"/>
        <w:rPr>
          <w:rFonts w:asciiTheme="majorHAnsi" w:hAnsiTheme="majorHAnsi"/>
          <w:sz w:val="28"/>
          <w:szCs w:val="28"/>
        </w:rPr>
      </w:pPr>
      <w:r w:rsidRPr="007020A5">
        <w:rPr>
          <w:rFonts w:asciiTheme="majorHAnsi" w:hAnsiTheme="majorHAnsi"/>
          <w:sz w:val="28"/>
          <w:szCs w:val="28"/>
        </w:rPr>
        <w:t>время оформления ГТД на срок более трех дней;</w:t>
      </w:r>
    </w:p>
    <w:p w14:paraId="4F0B289B" w14:textId="77777777" w:rsidR="006015F0" w:rsidRPr="007020A5" w:rsidRDefault="006015F0" w:rsidP="007020A5">
      <w:pPr>
        <w:pStyle w:val="aa"/>
        <w:numPr>
          <w:ilvl w:val="0"/>
          <w:numId w:val="7"/>
        </w:numPr>
        <w:spacing w:after="240" w:line="276" w:lineRule="auto"/>
        <w:ind w:left="1418"/>
        <w:jc w:val="both"/>
        <w:rPr>
          <w:rFonts w:asciiTheme="majorHAnsi" w:hAnsiTheme="majorHAnsi"/>
          <w:sz w:val="28"/>
          <w:szCs w:val="28"/>
        </w:rPr>
      </w:pPr>
      <w:r w:rsidRPr="007020A5">
        <w:rPr>
          <w:rFonts w:asciiTheme="majorHAnsi" w:hAnsiTheme="majorHAnsi"/>
          <w:sz w:val="28"/>
          <w:szCs w:val="28"/>
        </w:rPr>
        <w:t>срок предоставления ГТД – до 25 дней;</w:t>
      </w:r>
    </w:p>
    <w:p w14:paraId="7A21B4B9" w14:textId="0755E179" w:rsidR="006015F0" w:rsidRPr="007020A5" w:rsidRDefault="006015F0" w:rsidP="007020A5">
      <w:pPr>
        <w:pStyle w:val="aa"/>
        <w:numPr>
          <w:ilvl w:val="1"/>
          <w:numId w:val="6"/>
        </w:numPr>
        <w:spacing w:after="240" w:line="276" w:lineRule="auto"/>
        <w:ind w:left="1418"/>
        <w:contextualSpacing w:val="0"/>
        <w:jc w:val="both"/>
        <w:rPr>
          <w:rFonts w:asciiTheme="majorHAnsi" w:hAnsiTheme="majorHAnsi"/>
          <w:sz w:val="28"/>
          <w:szCs w:val="28"/>
        </w:rPr>
      </w:pPr>
      <w:r w:rsidRPr="007020A5">
        <w:rPr>
          <w:rFonts w:asciiTheme="majorHAnsi" w:hAnsiTheme="majorHAnsi"/>
          <w:sz w:val="28"/>
          <w:szCs w:val="28"/>
        </w:rPr>
        <w:t xml:space="preserve">При помещении под таможенные режимы «временное хранение» </w:t>
      </w:r>
      <w:r w:rsidR="00A83D4C" w:rsidRPr="007020A5">
        <w:rPr>
          <w:rFonts w:asciiTheme="majorHAnsi" w:hAnsiTheme="majorHAnsi"/>
          <w:sz w:val="28"/>
          <w:szCs w:val="28"/>
        </w:rPr>
        <w:t xml:space="preserve">(где это применимо) </w:t>
      </w:r>
      <w:r w:rsidRPr="007020A5">
        <w:rPr>
          <w:rFonts w:asciiTheme="majorHAnsi" w:hAnsiTheme="majorHAnsi"/>
          <w:sz w:val="28"/>
          <w:szCs w:val="28"/>
        </w:rPr>
        <w:t xml:space="preserve">или «таможенный склад» не рассматривать в качестве правонарушений случаи неправильной классификации товара по коду ТН ВЭД </w:t>
      </w:r>
      <w:r w:rsidRPr="007020A5">
        <w:rPr>
          <w:rFonts w:asciiTheme="majorHAnsi" w:hAnsiTheme="majorHAnsi"/>
          <w:i/>
          <w:sz w:val="28"/>
          <w:szCs w:val="28"/>
        </w:rPr>
        <w:t>(при отсутствии иных признаков декларирования не своим наименованием)</w:t>
      </w:r>
      <w:r w:rsidRPr="007020A5">
        <w:rPr>
          <w:rFonts w:asciiTheme="majorHAnsi" w:hAnsiTheme="majorHAnsi"/>
          <w:sz w:val="28"/>
          <w:szCs w:val="28"/>
        </w:rPr>
        <w:t>;</w:t>
      </w:r>
    </w:p>
    <w:p w14:paraId="04B78121" w14:textId="77777777" w:rsidR="007020A5" w:rsidRPr="007020A5" w:rsidRDefault="007020A5" w:rsidP="007020A5">
      <w:pPr>
        <w:pStyle w:val="aa"/>
        <w:spacing w:after="240" w:line="276" w:lineRule="auto"/>
        <w:ind w:left="1418"/>
        <w:contextualSpacing w:val="0"/>
        <w:jc w:val="both"/>
        <w:rPr>
          <w:rFonts w:asciiTheme="majorHAnsi" w:hAnsiTheme="majorHAnsi"/>
          <w:sz w:val="28"/>
          <w:szCs w:val="28"/>
        </w:rPr>
      </w:pPr>
    </w:p>
    <w:p w14:paraId="7A1F050E" w14:textId="77777777" w:rsidR="006015F0" w:rsidRPr="007020A5" w:rsidRDefault="006015F0" w:rsidP="007020A5">
      <w:pPr>
        <w:pStyle w:val="aa"/>
        <w:spacing w:after="240" w:line="276" w:lineRule="auto"/>
        <w:ind w:left="1418"/>
        <w:contextualSpacing w:val="0"/>
        <w:jc w:val="both"/>
        <w:rPr>
          <w:rFonts w:asciiTheme="majorHAnsi" w:hAnsiTheme="majorHAnsi"/>
          <w:b/>
          <w:i/>
          <w:sz w:val="28"/>
          <w:szCs w:val="28"/>
        </w:rPr>
      </w:pPr>
      <w:r w:rsidRPr="007020A5">
        <w:rPr>
          <w:rFonts w:asciiTheme="majorHAnsi" w:hAnsiTheme="majorHAnsi"/>
          <w:b/>
          <w:i/>
          <w:sz w:val="28"/>
          <w:szCs w:val="28"/>
        </w:rPr>
        <w:lastRenderedPageBreak/>
        <w:t>Смежные вопросы:</w:t>
      </w:r>
    </w:p>
    <w:p w14:paraId="1311E100" w14:textId="77777777" w:rsidR="006015F0" w:rsidRPr="007020A5" w:rsidRDefault="006015F0" w:rsidP="007020A5">
      <w:pPr>
        <w:pStyle w:val="aa"/>
        <w:numPr>
          <w:ilvl w:val="1"/>
          <w:numId w:val="6"/>
        </w:numPr>
        <w:spacing w:after="240" w:line="276" w:lineRule="auto"/>
        <w:ind w:left="1418"/>
        <w:jc w:val="both"/>
        <w:rPr>
          <w:rFonts w:asciiTheme="majorHAnsi" w:hAnsiTheme="majorHAnsi"/>
          <w:sz w:val="28"/>
          <w:szCs w:val="28"/>
        </w:rPr>
      </w:pPr>
      <w:r w:rsidRPr="007020A5">
        <w:rPr>
          <w:rFonts w:asciiTheme="majorHAnsi" w:hAnsiTheme="majorHAnsi"/>
          <w:sz w:val="28"/>
          <w:szCs w:val="28"/>
        </w:rPr>
        <w:t>Разработать крипто-программу с целью предоставить возможность владельцу сертификата электронной подписи подписать документ вне информационных систем государственных органов.</w:t>
      </w:r>
    </w:p>
    <w:p w14:paraId="2FF17AAB" w14:textId="5C5639BA" w:rsidR="006015F0" w:rsidRPr="007020A5" w:rsidRDefault="006015F0" w:rsidP="007020A5">
      <w:pPr>
        <w:pStyle w:val="aa"/>
        <w:numPr>
          <w:ilvl w:val="1"/>
          <w:numId w:val="6"/>
        </w:numPr>
        <w:spacing w:after="240" w:line="276" w:lineRule="auto"/>
        <w:ind w:left="1418"/>
        <w:jc w:val="both"/>
        <w:rPr>
          <w:rFonts w:asciiTheme="majorHAnsi" w:hAnsiTheme="majorHAnsi"/>
          <w:sz w:val="28"/>
          <w:szCs w:val="28"/>
        </w:rPr>
      </w:pPr>
      <w:r w:rsidRPr="007020A5">
        <w:rPr>
          <w:rFonts w:asciiTheme="majorHAnsi" w:hAnsiTheme="majorHAnsi"/>
          <w:sz w:val="28"/>
          <w:szCs w:val="28"/>
        </w:rPr>
        <w:t>Реализовать в сервисе</w:t>
      </w:r>
      <w:r w:rsidR="00A83D4C" w:rsidRPr="007020A5">
        <w:rPr>
          <w:rFonts w:asciiTheme="majorHAnsi" w:hAnsiTheme="majorHAnsi"/>
          <w:sz w:val="28"/>
          <w:szCs w:val="28"/>
        </w:rPr>
        <w:t xml:space="preserve"> налогового органа «Электронная счет- фактура» (к примеру -</w:t>
      </w:r>
      <w:r w:rsidRPr="007020A5">
        <w:rPr>
          <w:rFonts w:asciiTheme="majorHAnsi" w:hAnsiTheme="majorHAnsi"/>
          <w:sz w:val="28"/>
          <w:szCs w:val="28"/>
        </w:rPr>
        <w:t xml:space="preserve"> E-</w:t>
      </w:r>
      <w:proofErr w:type="spellStart"/>
      <w:r w:rsidRPr="007020A5">
        <w:rPr>
          <w:rFonts w:asciiTheme="majorHAnsi" w:hAnsiTheme="majorHAnsi"/>
          <w:sz w:val="28"/>
          <w:szCs w:val="28"/>
        </w:rPr>
        <w:t>Faktura</w:t>
      </w:r>
      <w:proofErr w:type="spellEnd"/>
      <w:r w:rsidR="00A83D4C" w:rsidRPr="007020A5">
        <w:rPr>
          <w:rFonts w:asciiTheme="majorHAnsi" w:hAnsiTheme="majorHAnsi"/>
          <w:sz w:val="28"/>
          <w:szCs w:val="28"/>
        </w:rPr>
        <w:t xml:space="preserve"> в Узбекистане)</w:t>
      </w:r>
      <w:r w:rsidRPr="007020A5">
        <w:rPr>
          <w:rFonts w:asciiTheme="majorHAnsi" w:hAnsiTheme="majorHAnsi"/>
          <w:sz w:val="28"/>
          <w:szCs w:val="28"/>
        </w:rPr>
        <w:t xml:space="preserve"> передачу договоров и иных документов </w:t>
      </w:r>
      <w:r w:rsidRPr="007020A5">
        <w:rPr>
          <w:rFonts w:asciiTheme="majorHAnsi" w:hAnsiTheme="majorHAnsi"/>
          <w:i/>
          <w:sz w:val="28"/>
          <w:szCs w:val="28"/>
        </w:rPr>
        <w:t>(к примеру – гражданских доверенностей на распоряжение товаром),</w:t>
      </w:r>
      <w:r w:rsidRPr="007020A5">
        <w:rPr>
          <w:rFonts w:asciiTheme="majorHAnsi" w:hAnsiTheme="majorHAnsi"/>
          <w:sz w:val="28"/>
          <w:szCs w:val="28"/>
        </w:rPr>
        <w:t xml:space="preserve"> подписанных ЭЦП;</w:t>
      </w:r>
    </w:p>
    <w:p w14:paraId="5DFBB867" w14:textId="61E1E5CB" w:rsidR="006015F0" w:rsidRPr="007020A5" w:rsidRDefault="006015F0" w:rsidP="007020A5">
      <w:pPr>
        <w:pStyle w:val="aa"/>
        <w:numPr>
          <w:ilvl w:val="1"/>
          <w:numId w:val="6"/>
        </w:numPr>
        <w:spacing w:after="240" w:line="276" w:lineRule="auto"/>
        <w:ind w:left="1418"/>
        <w:jc w:val="both"/>
        <w:rPr>
          <w:rFonts w:asciiTheme="majorHAnsi" w:hAnsiTheme="majorHAnsi"/>
          <w:sz w:val="28"/>
          <w:szCs w:val="28"/>
        </w:rPr>
      </w:pPr>
      <w:r w:rsidRPr="007020A5">
        <w:rPr>
          <w:rFonts w:asciiTheme="majorHAnsi" w:hAnsiTheme="majorHAnsi"/>
          <w:sz w:val="28"/>
          <w:szCs w:val="28"/>
        </w:rPr>
        <w:t>Таможенным брокерам</w:t>
      </w:r>
      <w:r w:rsidR="00A83D4C" w:rsidRPr="007020A5">
        <w:rPr>
          <w:rFonts w:asciiTheme="majorHAnsi" w:hAnsiTheme="majorHAnsi"/>
          <w:sz w:val="28"/>
          <w:szCs w:val="28"/>
        </w:rPr>
        <w:t>, в случае ограничения передвижения по причине карантина во время пандемии,</w:t>
      </w:r>
      <w:r w:rsidRPr="007020A5">
        <w:rPr>
          <w:rFonts w:asciiTheme="majorHAnsi" w:hAnsiTheme="majorHAnsi"/>
          <w:sz w:val="28"/>
          <w:szCs w:val="28"/>
        </w:rPr>
        <w:t xml:space="preserve"> –</w:t>
      </w:r>
      <w:r w:rsidR="00A83D4C" w:rsidRPr="007020A5">
        <w:rPr>
          <w:rFonts w:asciiTheme="majorHAnsi" w:hAnsiTheme="majorHAnsi"/>
          <w:sz w:val="28"/>
          <w:szCs w:val="28"/>
        </w:rPr>
        <w:t xml:space="preserve"> </w:t>
      </w:r>
      <w:r w:rsidRPr="007020A5">
        <w:rPr>
          <w:rFonts w:asciiTheme="majorHAnsi" w:hAnsiTheme="majorHAnsi"/>
          <w:sz w:val="28"/>
          <w:szCs w:val="28"/>
        </w:rPr>
        <w:t>выдавать разрешения на право передвижения на служебных автомобилях и автомобилях физических лиц – сотрудников таможенного брокера.</w:t>
      </w:r>
    </w:p>
    <w:p w14:paraId="32399130" w14:textId="77777777" w:rsidR="00904308" w:rsidRPr="007020A5" w:rsidRDefault="00904308" w:rsidP="00904308">
      <w:pPr>
        <w:pStyle w:val="aa"/>
        <w:spacing w:after="0" w:line="360" w:lineRule="auto"/>
        <w:ind w:left="1418"/>
        <w:jc w:val="both"/>
        <w:rPr>
          <w:rFonts w:asciiTheme="majorHAnsi" w:hAnsiTheme="majorHAnsi"/>
          <w:sz w:val="28"/>
          <w:szCs w:val="28"/>
        </w:rPr>
      </w:pPr>
    </w:p>
    <w:sectPr w:rsidR="00904308" w:rsidRPr="007020A5" w:rsidSect="007020A5">
      <w:pgSz w:w="16838" w:h="11906" w:orient="landscape"/>
      <w:pgMar w:top="737" w:right="962"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906F8"/>
    <w:multiLevelType w:val="hybridMultilevel"/>
    <w:tmpl w:val="08482A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6C520D"/>
    <w:multiLevelType w:val="hybridMultilevel"/>
    <w:tmpl w:val="2F8C6724"/>
    <w:lvl w:ilvl="0" w:tplc="5CE29E6C">
      <w:start w:val="1"/>
      <w:numFmt w:val="upperRoman"/>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A16BA8"/>
    <w:multiLevelType w:val="multilevel"/>
    <w:tmpl w:val="C7B29436"/>
    <w:lvl w:ilvl="0">
      <w:start w:val="1"/>
      <w:numFmt w:val="decimal"/>
      <w:lvlText w:val="%1."/>
      <w:lvlJc w:val="left"/>
      <w:pPr>
        <w:ind w:left="450" w:hanging="450"/>
      </w:pPr>
      <w:rPr>
        <w:rFonts w:hint="default"/>
      </w:rPr>
    </w:lvl>
    <w:lvl w:ilvl="1">
      <w:start w:val="1"/>
      <w:numFmt w:val="russianLower"/>
      <w:lvlText w:val="%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395A02"/>
    <w:multiLevelType w:val="hybridMultilevel"/>
    <w:tmpl w:val="7EB455F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30834DB6"/>
    <w:multiLevelType w:val="hybridMultilevel"/>
    <w:tmpl w:val="122EE60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30F155E4"/>
    <w:multiLevelType w:val="hybridMultilevel"/>
    <w:tmpl w:val="8A86BDCC"/>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364123BA"/>
    <w:multiLevelType w:val="hybridMultilevel"/>
    <w:tmpl w:val="8820A8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95735E"/>
    <w:multiLevelType w:val="multilevel"/>
    <w:tmpl w:val="365E1A24"/>
    <w:lvl w:ilvl="0">
      <w:start w:val="2"/>
      <w:numFmt w:val="decimal"/>
      <w:lvlText w:val="%1."/>
      <w:lvlJc w:val="left"/>
      <w:pPr>
        <w:ind w:left="450" w:hanging="450"/>
      </w:pPr>
      <w:rPr>
        <w:rFonts w:hint="default"/>
      </w:rPr>
    </w:lvl>
    <w:lvl w:ilvl="1">
      <w:start w:val="1"/>
      <w:numFmt w:val="russianLower"/>
      <w:lvlText w:val="%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124429"/>
    <w:multiLevelType w:val="hybridMultilevel"/>
    <w:tmpl w:val="2D462F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3"/>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BCC"/>
    <w:rsid w:val="000622D3"/>
    <w:rsid w:val="00092F94"/>
    <w:rsid w:val="00153A3C"/>
    <w:rsid w:val="00190770"/>
    <w:rsid w:val="001967A9"/>
    <w:rsid w:val="001F6802"/>
    <w:rsid w:val="00256F17"/>
    <w:rsid w:val="002D7565"/>
    <w:rsid w:val="00351C0A"/>
    <w:rsid w:val="00356A11"/>
    <w:rsid w:val="0038281C"/>
    <w:rsid w:val="003B7C81"/>
    <w:rsid w:val="00424BCC"/>
    <w:rsid w:val="00430095"/>
    <w:rsid w:val="004B0B68"/>
    <w:rsid w:val="005838F8"/>
    <w:rsid w:val="005F675B"/>
    <w:rsid w:val="006002BC"/>
    <w:rsid w:val="006015F0"/>
    <w:rsid w:val="00643E9F"/>
    <w:rsid w:val="006528AC"/>
    <w:rsid w:val="00660DF0"/>
    <w:rsid w:val="00684139"/>
    <w:rsid w:val="00691956"/>
    <w:rsid w:val="006A5664"/>
    <w:rsid w:val="007020A5"/>
    <w:rsid w:val="00720FE3"/>
    <w:rsid w:val="007A0CB4"/>
    <w:rsid w:val="007B4E38"/>
    <w:rsid w:val="00833BAC"/>
    <w:rsid w:val="00846A5B"/>
    <w:rsid w:val="00865175"/>
    <w:rsid w:val="008A67E2"/>
    <w:rsid w:val="008D65D2"/>
    <w:rsid w:val="009028AE"/>
    <w:rsid w:val="00904308"/>
    <w:rsid w:val="00942B97"/>
    <w:rsid w:val="00962187"/>
    <w:rsid w:val="009939B0"/>
    <w:rsid w:val="009B2311"/>
    <w:rsid w:val="009C3754"/>
    <w:rsid w:val="009D2EE5"/>
    <w:rsid w:val="009E248A"/>
    <w:rsid w:val="009F0B0E"/>
    <w:rsid w:val="00A24DA9"/>
    <w:rsid w:val="00A669E2"/>
    <w:rsid w:val="00A83D4C"/>
    <w:rsid w:val="00AA5BA9"/>
    <w:rsid w:val="00AA69E6"/>
    <w:rsid w:val="00B00DCD"/>
    <w:rsid w:val="00B623BE"/>
    <w:rsid w:val="00B74AF1"/>
    <w:rsid w:val="00C65C9A"/>
    <w:rsid w:val="00C86BE6"/>
    <w:rsid w:val="00C91BD5"/>
    <w:rsid w:val="00CC21A1"/>
    <w:rsid w:val="00CE55E2"/>
    <w:rsid w:val="00CF2477"/>
    <w:rsid w:val="00D1603A"/>
    <w:rsid w:val="00D3619C"/>
    <w:rsid w:val="00D50F57"/>
    <w:rsid w:val="00E80342"/>
    <w:rsid w:val="00EB7A19"/>
    <w:rsid w:val="00ED3952"/>
    <w:rsid w:val="00FD2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686B"/>
  <w15:docId w15:val="{B795A442-6548-4830-858E-C0FC59B2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BCC"/>
    <w:pPr>
      <w:spacing w:after="0" w:line="240" w:lineRule="auto"/>
    </w:pPr>
    <w:rPr>
      <w:rFonts w:ascii="Arial" w:hAnsi="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BCC"/>
    <w:pPr>
      <w:spacing w:after="0" w:line="240" w:lineRule="auto"/>
    </w:pPr>
    <w:rPr>
      <w:rFonts w:ascii="Arial" w:hAnsi="Arial"/>
      <w:lang w:val="en-US"/>
    </w:rPr>
  </w:style>
  <w:style w:type="table" w:styleId="a4">
    <w:name w:val="Table Grid"/>
    <w:basedOn w:val="a1"/>
    <w:uiPriority w:val="59"/>
    <w:rsid w:val="0042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8281C"/>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A669E2"/>
    <w:rPr>
      <w:rFonts w:ascii="Tahoma" w:hAnsi="Tahoma" w:cs="Tahoma"/>
      <w:sz w:val="16"/>
      <w:szCs w:val="16"/>
    </w:rPr>
  </w:style>
  <w:style w:type="character" w:customStyle="1" w:styleId="a7">
    <w:name w:val="Текст выноски Знак"/>
    <w:basedOn w:val="a0"/>
    <w:link w:val="a6"/>
    <w:uiPriority w:val="99"/>
    <w:semiHidden/>
    <w:rsid w:val="00A669E2"/>
    <w:rPr>
      <w:rFonts w:ascii="Tahoma" w:hAnsi="Tahoma" w:cs="Tahoma"/>
      <w:sz w:val="16"/>
      <w:szCs w:val="16"/>
      <w:lang w:val="en-US"/>
    </w:rPr>
  </w:style>
  <w:style w:type="character" w:styleId="a8">
    <w:name w:val="Hyperlink"/>
    <w:basedOn w:val="a0"/>
    <w:uiPriority w:val="99"/>
    <w:unhideWhenUsed/>
    <w:rsid w:val="009028AE"/>
    <w:rPr>
      <w:color w:val="0000FF" w:themeColor="hyperlink"/>
      <w:u w:val="single"/>
    </w:rPr>
  </w:style>
  <w:style w:type="character" w:styleId="a9">
    <w:name w:val="Unresolved Mention"/>
    <w:basedOn w:val="a0"/>
    <w:uiPriority w:val="99"/>
    <w:semiHidden/>
    <w:unhideWhenUsed/>
    <w:rsid w:val="009028AE"/>
    <w:rPr>
      <w:color w:val="605E5C"/>
      <w:shd w:val="clear" w:color="auto" w:fill="E1DFDD"/>
    </w:rPr>
  </w:style>
  <w:style w:type="paragraph" w:styleId="aa">
    <w:name w:val="List Paragraph"/>
    <w:basedOn w:val="a"/>
    <w:uiPriority w:val="34"/>
    <w:qFormat/>
    <w:rsid w:val="006015F0"/>
    <w:pPr>
      <w:spacing w:after="160" w:line="259" w:lineRule="auto"/>
      <w:ind w:left="720"/>
      <w:contextualSpacing/>
    </w:pPr>
    <w:rPr>
      <w:rFonts w:asciiTheme="minorHAnsi" w:hAnsiTheme="minorHAns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4889">
      <w:bodyDiv w:val="1"/>
      <w:marLeft w:val="0"/>
      <w:marRight w:val="0"/>
      <w:marTop w:val="0"/>
      <w:marBottom w:val="0"/>
      <w:divBdr>
        <w:top w:val="none" w:sz="0" w:space="0" w:color="auto"/>
        <w:left w:val="none" w:sz="0" w:space="0" w:color="auto"/>
        <w:bottom w:val="none" w:sz="0" w:space="0" w:color="auto"/>
        <w:right w:val="none" w:sz="0" w:space="0" w:color="auto"/>
      </w:divBdr>
    </w:div>
    <w:div w:id="15607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ian-cb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0A28-251F-4E5D-8A64-01544534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10</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2018-06-06T15:46:00Z</cp:lastPrinted>
  <dcterms:created xsi:type="dcterms:W3CDTF">2018-05-31T05:45:00Z</dcterms:created>
  <dcterms:modified xsi:type="dcterms:W3CDTF">2020-11-03T16:44:00Z</dcterms:modified>
</cp:coreProperties>
</file>