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E1" w:rsidRDefault="00F25EE1" w:rsidP="00F25EE1">
      <w:pPr>
        <w:pStyle w:val="30"/>
        <w:shd w:val="clear" w:color="auto" w:fill="auto"/>
        <w:spacing w:after="133" w:line="280" w:lineRule="exact"/>
        <w:ind w:left="800"/>
        <w:jc w:val="center"/>
      </w:pPr>
    </w:p>
    <w:tbl>
      <w:tblPr>
        <w:tblStyle w:val="a4"/>
        <w:tblW w:w="9656" w:type="dxa"/>
        <w:tblInd w:w="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5953"/>
      </w:tblGrid>
      <w:tr w:rsidR="00F25EE1" w:rsidTr="00F25EE1">
        <w:tc>
          <w:tcPr>
            <w:tcW w:w="3703" w:type="dxa"/>
          </w:tcPr>
          <w:p w:rsidR="00F25EE1" w:rsidRDefault="00F25EE1" w:rsidP="00F25EE1">
            <w:pPr>
              <w:pStyle w:val="30"/>
              <w:shd w:val="clear" w:color="auto" w:fill="auto"/>
              <w:spacing w:after="133" w:line="280" w:lineRule="exact"/>
              <w:jc w:val="right"/>
            </w:pPr>
          </w:p>
        </w:tc>
        <w:tc>
          <w:tcPr>
            <w:tcW w:w="5953" w:type="dxa"/>
          </w:tcPr>
          <w:p w:rsidR="00F25EE1" w:rsidRDefault="00F25EE1" w:rsidP="00F25EE1">
            <w:pPr>
              <w:pStyle w:val="30"/>
              <w:shd w:val="clear" w:color="auto" w:fill="auto"/>
              <w:spacing w:after="133" w:line="280" w:lineRule="exact"/>
              <w:jc w:val="center"/>
            </w:pPr>
            <w:r>
              <w:t>Утверждено</w:t>
            </w:r>
          </w:p>
        </w:tc>
      </w:tr>
      <w:tr w:rsidR="00F25EE1" w:rsidTr="00F25EE1">
        <w:tc>
          <w:tcPr>
            <w:tcW w:w="3703" w:type="dxa"/>
          </w:tcPr>
          <w:p w:rsidR="00F25EE1" w:rsidRDefault="00F25EE1" w:rsidP="00F25EE1">
            <w:pPr>
              <w:pStyle w:val="30"/>
              <w:shd w:val="clear" w:color="auto" w:fill="auto"/>
              <w:spacing w:after="133" w:line="280" w:lineRule="exact"/>
              <w:jc w:val="right"/>
            </w:pPr>
          </w:p>
        </w:tc>
        <w:tc>
          <w:tcPr>
            <w:tcW w:w="5953" w:type="dxa"/>
          </w:tcPr>
          <w:p w:rsidR="00F25EE1" w:rsidRDefault="00F25EE1" w:rsidP="00F25EE1">
            <w:pPr>
              <w:pStyle w:val="20"/>
              <w:shd w:val="clear" w:color="auto" w:fill="auto"/>
              <w:spacing w:before="0"/>
              <w:ind w:right="180"/>
            </w:pPr>
            <w:r>
              <w:t xml:space="preserve">_______________ </w:t>
            </w:r>
            <w:r>
              <w:t>координатор Совета Гелетюк И.Д., Президент</w:t>
            </w:r>
            <w:r>
              <w:t xml:space="preserve"> АТБ</w:t>
            </w:r>
            <w:r>
              <w:t xml:space="preserve"> </w:t>
            </w:r>
            <w:r>
              <w:t>(Кыргызск</w:t>
            </w:r>
            <w:r>
              <w:t>ая Республика )</w:t>
            </w:r>
          </w:p>
          <w:p w:rsidR="00F25EE1" w:rsidRDefault="00F25EE1" w:rsidP="00F25EE1">
            <w:pPr>
              <w:pStyle w:val="20"/>
              <w:shd w:val="clear" w:color="auto" w:fill="auto"/>
              <w:spacing w:before="0"/>
              <w:ind w:right="180"/>
            </w:pPr>
            <w:r>
              <w:t xml:space="preserve">_______________ </w:t>
            </w:r>
            <w:r>
              <w:t xml:space="preserve">член Совета Шестаков Г.А., Председатель </w:t>
            </w:r>
            <w:r>
              <w:t>КАТБ (П) (Респуб</w:t>
            </w:r>
            <w:r>
              <w:t>лика Казахстан)</w:t>
            </w:r>
          </w:p>
          <w:p w:rsidR="00F25EE1" w:rsidRDefault="00F25EE1" w:rsidP="00F25EE1">
            <w:pPr>
              <w:pStyle w:val="20"/>
              <w:shd w:val="clear" w:color="auto" w:fill="auto"/>
              <w:spacing w:before="0"/>
              <w:ind w:right="180"/>
            </w:pPr>
            <w:r>
              <w:t xml:space="preserve">_______________ </w:t>
            </w:r>
            <w:r>
              <w:t xml:space="preserve">член Совета Айрапетьянц А.О., Председатель </w:t>
            </w:r>
            <w:r>
              <w:t>АТБ (Рдспу</w:t>
            </w:r>
            <w:r>
              <w:t>блика Узбекистан),</w:t>
            </w:r>
          </w:p>
          <w:p w:rsidR="00F25EE1" w:rsidRDefault="00F25EE1" w:rsidP="00F25EE1">
            <w:pPr>
              <w:pStyle w:val="20"/>
              <w:shd w:val="clear" w:color="auto" w:fill="auto"/>
              <w:spacing w:before="0" w:after="693"/>
              <w:ind w:right="180"/>
            </w:pPr>
            <w:r>
              <w:t xml:space="preserve">________________ </w:t>
            </w:r>
            <w:r>
              <w:t>член Совета Махмудова Ф.С., Председатель АТБ (Республика Таджик</w:t>
            </w:r>
            <w:bookmarkStart w:id="0" w:name="_GoBack"/>
            <w:bookmarkEnd w:id="0"/>
            <w:r>
              <w:t>истан)</w:t>
            </w:r>
          </w:p>
          <w:p w:rsidR="00F25EE1" w:rsidRDefault="00F25EE1" w:rsidP="00F25EE1">
            <w:pPr>
              <w:pStyle w:val="30"/>
              <w:shd w:val="clear" w:color="auto" w:fill="auto"/>
              <w:spacing w:after="133" w:line="280" w:lineRule="exact"/>
              <w:jc w:val="right"/>
            </w:pPr>
          </w:p>
        </w:tc>
      </w:tr>
    </w:tbl>
    <w:p w:rsidR="00FB2074" w:rsidRDefault="00FB2074" w:rsidP="00F25EE1">
      <w:pPr>
        <w:pStyle w:val="30"/>
        <w:shd w:val="clear" w:color="auto" w:fill="auto"/>
        <w:spacing w:after="133" w:line="280" w:lineRule="exact"/>
        <w:ind w:left="800"/>
        <w:jc w:val="right"/>
      </w:pPr>
    </w:p>
    <w:p w:rsidR="00FB2074" w:rsidRDefault="00BD3DA7">
      <w:pPr>
        <w:pStyle w:val="40"/>
        <w:shd w:val="clear" w:color="auto" w:fill="auto"/>
        <w:spacing w:before="0"/>
        <w:ind w:left="3620"/>
      </w:pPr>
      <w:r>
        <w:t>Решение № 4</w:t>
      </w:r>
    </w:p>
    <w:p w:rsidR="00FB2074" w:rsidRDefault="00BD3DA7">
      <w:pPr>
        <w:pStyle w:val="40"/>
        <w:shd w:val="clear" w:color="auto" w:fill="auto"/>
        <w:spacing w:before="0"/>
        <w:ind w:left="1960"/>
      </w:pPr>
      <w:r>
        <w:t>Регионального Совета руководителей</w:t>
      </w:r>
    </w:p>
    <w:p w:rsidR="00FB2074" w:rsidRDefault="00BD3DA7">
      <w:pPr>
        <w:pStyle w:val="40"/>
        <w:shd w:val="clear" w:color="auto" w:fill="auto"/>
        <w:spacing w:before="0"/>
        <w:jc w:val="both"/>
      </w:pPr>
      <w:r>
        <w:t>Ассоциаций таможенных брокеров (представителей) Центрально-</w:t>
      </w:r>
    </w:p>
    <w:p w:rsidR="00FB2074" w:rsidRDefault="00BD3DA7">
      <w:pPr>
        <w:pStyle w:val="40"/>
        <w:shd w:val="clear" w:color="auto" w:fill="auto"/>
        <w:spacing w:before="0" w:after="798" w:line="320" w:lineRule="exact"/>
        <w:ind w:left="3200"/>
      </w:pPr>
      <w:r>
        <w:t>Азиатского региона</w:t>
      </w:r>
    </w:p>
    <w:p w:rsidR="00FB2074" w:rsidRDefault="00F25EE1">
      <w:pPr>
        <w:pStyle w:val="20"/>
        <w:shd w:val="clear" w:color="auto" w:fill="auto"/>
        <w:spacing w:before="0" w:after="1271" w:line="240" w:lineRule="exact"/>
        <w:ind w:left="70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-454025</wp:posOffset>
                </wp:positionH>
                <wp:positionV relativeFrom="paragraph">
                  <wp:posOffset>-21590</wp:posOffset>
                </wp:positionV>
                <wp:extent cx="636905" cy="152400"/>
                <wp:effectExtent l="635" t="0" r="635" b="1905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074" w:rsidRDefault="00BD3DA7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 Бишкек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75pt;margin-top:-1.7pt;width:50.15pt;height:12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" filled="f" stroked="f">
                <v:textbox style="mso-fit-shape-to-text:t" inset="0,0,0,0">
                  <w:txbxContent>
                    <w:p w:rsidR="00FB2074" w:rsidRDefault="00BD3DA7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г. Бишкек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D3DA7">
        <w:t>26 июля 2019 года</w:t>
      </w:r>
    </w:p>
    <w:p w:rsidR="00FB2074" w:rsidRDefault="00BD3DA7">
      <w:pPr>
        <w:pStyle w:val="20"/>
        <w:shd w:val="clear" w:color="auto" w:fill="auto"/>
        <w:spacing w:before="0" w:after="362" w:line="317" w:lineRule="exact"/>
        <w:ind w:left="160"/>
      </w:pPr>
      <w:r>
        <w:t xml:space="preserve">Ассоциация таможенных </w:t>
      </w:r>
      <w:r>
        <w:t>брокеров (представителей) Республики Казахстан, Ассоциация таможенных брокеров Кыргызской Республики, Ассоциация таможенных брокеров Республики Узбекистан и Ассоциация таможенных брокеров Республики Таджикистан в лице Руководителей Ассоциаций, обсудив вопр</w:t>
      </w:r>
      <w:r>
        <w:t>осы повестки дня заседания Регионального Совета,</w:t>
      </w:r>
    </w:p>
    <w:p w:rsidR="00FB2074" w:rsidRDefault="00BD3DA7">
      <w:pPr>
        <w:pStyle w:val="20"/>
        <w:shd w:val="clear" w:color="auto" w:fill="auto"/>
        <w:spacing w:before="0" w:after="682" w:line="240" w:lineRule="exact"/>
        <w:ind w:left="4040"/>
        <w:jc w:val="left"/>
      </w:pPr>
      <w:r>
        <w:t>РЕШИЛИ:</w:t>
      </w:r>
    </w:p>
    <w:p w:rsidR="00FB2074" w:rsidRDefault="00BD3DA7">
      <w:pPr>
        <w:pStyle w:val="20"/>
        <w:shd w:val="clear" w:color="auto" w:fill="auto"/>
        <w:spacing w:before="0" w:after="299" w:line="240" w:lineRule="exact"/>
        <w:ind w:left="160"/>
      </w:pPr>
      <w:r>
        <w:t>-Утвердить План работы на второе полугодие 2019 года (Приложение № 1)</w:t>
      </w:r>
    </w:p>
    <w:p w:rsidR="00FB2074" w:rsidRDefault="00BD3DA7">
      <w:pPr>
        <w:pStyle w:val="20"/>
        <w:shd w:val="clear" w:color="auto" w:fill="auto"/>
        <w:spacing w:before="0" w:after="304"/>
        <w:ind w:left="160"/>
        <w:jc w:val="left"/>
      </w:pPr>
      <w:r>
        <w:t xml:space="preserve">-Утвердить рекомендации выработанные по итогам </w:t>
      </w:r>
      <w:r>
        <w:rPr>
          <w:lang w:val="en-US" w:eastAsia="en-US" w:bidi="en-US"/>
        </w:rPr>
        <w:t>III</w:t>
      </w:r>
      <w:r w:rsidRPr="00F25EE1">
        <w:rPr>
          <w:lang w:eastAsia="en-US" w:bidi="en-US"/>
        </w:rPr>
        <w:t xml:space="preserve"> </w:t>
      </w:r>
      <w:r>
        <w:t>Бишкекской конференции АТБ/П ЦАР (Приложение № 2)</w:t>
      </w:r>
    </w:p>
    <w:p w:rsidR="00FB2074" w:rsidRDefault="00BD3DA7">
      <w:pPr>
        <w:pStyle w:val="20"/>
        <w:shd w:val="clear" w:color="auto" w:fill="auto"/>
        <w:spacing w:before="0" w:line="326" w:lineRule="exact"/>
        <w:ind w:left="160" w:right="1300"/>
        <w:jc w:val="left"/>
      </w:pPr>
      <w:r>
        <w:t>-с 1 января 2020 года коорди</w:t>
      </w:r>
      <w:r>
        <w:t>натором Регионального Совета АТБ/П ЦАР назначить председателя АТБ Уз Айрапетьянц А.О.</w:t>
      </w:r>
    </w:p>
    <w:sectPr w:rsidR="00FB2074">
      <w:pgSz w:w="11900" w:h="16840"/>
      <w:pgMar w:top="1105" w:right="819" w:bottom="1105" w:left="12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A7" w:rsidRDefault="00BD3DA7">
      <w:r>
        <w:separator/>
      </w:r>
    </w:p>
  </w:endnote>
  <w:endnote w:type="continuationSeparator" w:id="0">
    <w:p w:rsidR="00BD3DA7" w:rsidRDefault="00BD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A7" w:rsidRDefault="00BD3DA7"/>
  </w:footnote>
  <w:footnote w:type="continuationSeparator" w:id="0">
    <w:p w:rsidR="00BD3DA7" w:rsidRDefault="00BD3D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74"/>
    <w:rsid w:val="00BD3DA7"/>
    <w:rsid w:val="00F25EE1"/>
    <w:rsid w:val="00FB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CFFC"/>
  <w15:docId w15:val="{EA8593BC-F7B5-46DF-9CB2-84B73083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19pt-2pt">
    <w:name w:val="Основной текст (2) + 19 pt;Курсив;Интервал -2 pt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31" w:lineRule="exact"/>
      <w:jc w:val="both"/>
    </w:pPr>
    <w:rPr>
      <w:rFonts w:ascii="Calibri" w:eastAsia="Calibri" w:hAnsi="Calibri" w:cs="Calibri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590" w:lineRule="exact"/>
    </w:pPr>
    <w:rPr>
      <w:rFonts w:ascii="Calibri" w:eastAsia="Calibri" w:hAnsi="Calibri" w:cs="Calibri"/>
      <w:sz w:val="32"/>
      <w:szCs w:val="32"/>
    </w:rPr>
  </w:style>
  <w:style w:type="table" w:styleId="a4">
    <w:name w:val="Table Grid"/>
    <w:basedOn w:val="a1"/>
    <w:uiPriority w:val="39"/>
    <w:rsid w:val="00F2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2019-08-14T08:30:00Z</dcterms:created>
  <dcterms:modified xsi:type="dcterms:W3CDTF">2019-08-14T08:36:00Z</dcterms:modified>
</cp:coreProperties>
</file>